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rpsdetexte"/>
        <w:jc w:val="center"/>
        <w:rPr>
          <w:rFonts w:ascii="Times New Roman" w:hAnsi="Times New Roman"/>
          <w:sz w:val="20"/>
          <w:szCs w:val="20"/>
        </w:rPr>
      </w:pPr>
      <w:r>
        <w:rPr>
          <w:sz w:val="20"/>
          <w:szCs w:val="20"/>
        </w:rPr>
        <w:t>CONDITIONS GENERALES DE VENTE</w:t>
      </w:r>
    </w:p>
    <w:p>
      <w:pPr>
        <w:pStyle w:val="Corpsdetexte"/>
        <w:jc w:val="center"/>
        <w:rPr>
          <w:rFonts w:ascii="Times New Roman" w:hAnsi="Times New Roman"/>
          <w:sz w:val="20"/>
          <w:szCs w:val="20"/>
        </w:rPr>
      </w:pPr>
      <w:r>
        <w:rPr>
          <w:sz w:val="20"/>
          <w:szCs w:val="20"/>
        </w:rPr>
        <w:t>ENTRE PARTICULIERS</w:t>
      </w:r>
    </w:p>
    <w:p>
      <w:pPr>
        <w:pStyle w:val="Corpsdetexte"/>
        <w:jc w:val="both"/>
        <w:rPr/>
      </w:pPr>
      <w:r>
        <w:rPr>
          <w:sz w:val="20"/>
          <w:szCs w:val="20"/>
        </w:rPr>
        <w:t xml:space="preserve">Gaëlle BOUYSSOU–Résidence Email - 33, rue du Chinchauvaud – 87100 LIMOGES – Tel 06 73 29 00 60 – Mail : </w:t>
      </w:r>
      <w:r>
        <w:rPr>
          <w:sz w:val="20"/>
          <w:szCs w:val="20"/>
        </w:rPr>
        <w:t>contact@gaelle-bouyssou-bijoux.com</w:t>
      </w:r>
      <w:r>
        <w:rPr>
          <w:sz w:val="20"/>
          <w:szCs w:val="20"/>
        </w:rPr>
        <w:t>– Site internet : www.gaelle-bouyssou-bijoux.com</w:t>
      </w:r>
    </w:p>
    <w:p>
      <w:pPr>
        <w:pStyle w:val="Corpsdetexte"/>
        <w:jc w:val="both"/>
        <w:rPr>
          <w:rFonts w:ascii="Times New Roman" w:hAnsi="Times New Roman"/>
          <w:sz w:val="20"/>
          <w:szCs w:val="20"/>
        </w:rPr>
      </w:pPr>
      <w:r>
        <w:rPr>
          <w:sz w:val="20"/>
          <w:szCs w:val="20"/>
        </w:rPr>
        <w:t>SIREN n° 789 251 253 RM87 - APRM : 3213ZZ – non assujettie à la TVA.</w:t>
      </w:r>
    </w:p>
    <w:p>
      <w:pPr>
        <w:pStyle w:val="Citations"/>
        <w:suppressAutoHyphens w:val="true"/>
        <w:spacing w:before="0" w:after="283"/>
        <w:ind w:left="0" w:right="567" w:hanging="0"/>
        <w:jc w:val="left"/>
        <w:rPr>
          <w:rFonts w:ascii="Times New Roman" w:hAnsi="Times New Roman"/>
          <w:sz w:val="20"/>
          <w:szCs w:val="20"/>
        </w:rPr>
      </w:pPr>
      <w:r>
        <w:rPr>
          <w:b w:val="false"/>
          <w:i w:val="false"/>
          <w:caps w:val="false"/>
          <w:smallCaps w:val="false"/>
          <w:color w:val="000000"/>
          <w:spacing w:val="0"/>
          <w:sz w:val="20"/>
          <w:szCs w:val="20"/>
        </w:rPr>
        <w:t>RESPONSABLE DU SITE</w:t>
        <w:br/>
        <w:br/>
        <w:t>Gaëlle BOUYSSOU a créée ce site avec la solution </w:t>
      </w:r>
      <w:hyperlink r:id="rId2" w:tgtFrame="_blank">
        <w:r>
          <w:rPr>
            <w:rStyle w:val="LienInternet"/>
            <w:sz w:val="20"/>
            <w:szCs w:val="20"/>
          </w:rPr>
          <w:t>oneprez.com</w:t>
        </w:r>
      </w:hyperlink>
      <w:r>
        <w:rPr>
          <w:b w:val="false"/>
          <w:i w:val="false"/>
          <w:caps w:val="false"/>
          <w:smallCaps w:val="false"/>
          <w:color w:val="000000"/>
          <w:spacing w:val="0"/>
          <w:sz w:val="20"/>
          <w:szCs w:val="20"/>
        </w:rPr>
        <w:t> (solution éditée par la société L'expérience interactive).</w:t>
        <w:br/>
      </w:r>
      <w:hyperlink r:id="rId3" w:tgtFrame="_blank">
        <w:r>
          <w:rPr>
            <w:rStyle w:val="LienInternet"/>
            <w:sz w:val="20"/>
            <w:szCs w:val="20"/>
          </w:rPr>
          <w:t>oneprez.com</w:t>
        </w:r>
      </w:hyperlink>
      <w:r>
        <w:rPr>
          <w:b w:val="false"/>
          <w:i w:val="false"/>
          <w:caps w:val="false"/>
          <w:smallCaps w:val="false"/>
          <w:color w:val="000000"/>
          <w:spacing w:val="0"/>
          <w:sz w:val="20"/>
          <w:szCs w:val="20"/>
        </w:rPr>
        <w:t> est un outil d'édition de sites web assistée et automatisée qui permet de créer un site pro et de le gérer soi-même.</w:t>
        <w:br/>
        <w:t>Gaëlle BOUYSSOU est responsable du site </w:t>
      </w:r>
      <w:hyperlink r:id="rId4" w:tgtFrame="_blank">
        <w:r>
          <w:rPr>
            <w:rStyle w:val="LienInternet"/>
            <w:sz w:val="20"/>
            <w:szCs w:val="20"/>
          </w:rPr>
          <w:t>https://www.gaelle-bouyssou-bijoux.com</w:t>
        </w:r>
      </w:hyperlink>
      <w:r>
        <w:rPr>
          <w:b w:val="false"/>
          <w:i w:val="false"/>
          <w:caps w:val="false"/>
          <w:smallCaps w:val="false"/>
          <w:color w:val="000000"/>
          <w:spacing w:val="0"/>
          <w:sz w:val="20"/>
          <w:szCs w:val="20"/>
        </w:rPr>
        <w:br/>
        <w:t>En tant que responsable, Gaëlle BOUYSSOU est aussi désignée par les termes 'éditeur' et 'administrateur'.</w:t>
        <w:br/>
        <w:t>Pour contacter Gaëlle BOUYSSOU, utilisez la rubrique CONTACTS de ce site.</w:t>
        <w:br/>
        <w:t>Pour contacter </w:t>
      </w:r>
      <w:hyperlink r:id="rId5" w:tgtFrame="_blank">
        <w:r>
          <w:rPr>
            <w:rStyle w:val="LienInternet"/>
            <w:sz w:val="20"/>
            <w:szCs w:val="20"/>
          </w:rPr>
          <w:t>oneprez.com</w:t>
        </w:r>
      </w:hyperlink>
      <w:r>
        <w:rPr>
          <w:b w:val="false"/>
          <w:i w:val="false"/>
          <w:caps w:val="false"/>
          <w:smallCaps w:val="false"/>
          <w:color w:val="000000"/>
          <w:spacing w:val="0"/>
          <w:sz w:val="20"/>
          <w:szCs w:val="20"/>
        </w:rPr>
        <w:t>, cliquez sur le lien : </w:t>
      </w:r>
      <w:hyperlink r:id="rId6" w:tgtFrame="_blank">
        <w:r>
          <w:rPr>
            <w:rStyle w:val="LienInternet"/>
            <w:sz w:val="20"/>
            <w:szCs w:val="20"/>
          </w:rPr>
          <w:t>https://www.oneprez.com</w:t>
        </w:r>
      </w:hyperlink>
      <w:r>
        <w:rPr>
          <w:b w:val="false"/>
          <w:i w:val="false"/>
          <w:caps w:val="false"/>
          <w:smallCaps w:val="false"/>
          <w:color w:val="000000"/>
          <w:spacing w:val="0"/>
          <w:sz w:val="20"/>
          <w:szCs w:val="20"/>
        </w:rPr>
        <w:br/>
        <w:br/>
        <w:t>RESPONSABILITÉ DE Gaëlle BOUYSSOU</w:t>
        <w:br/>
        <w:t>Gaëlle BOUYSSOU est responsable du contenu éditorial de son site.</w:t>
        <w:br/>
      </w:r>
      <w:hyperlink r:id="rId7" w:tgtFrame="_blank">
        <w:r>
          <w:rPr>
            <w:rStyle w:val="LienInternet"/>
            <w:sz w:val="20"/>
            <w:szCs w:val="20"/>
          </w:rPr>
          <w:t>oneprez.com</w:t>
        </w:r>
      </w:hyperlink>
      <w:r>
        <w:rPr>
          <w:b w:val="false"/>
          <w:i w:val="false"/>
          <w:caps w:val="false"/>
          <w:smallCaps w:val="false"/>
          <w:color w:val="000000"/>
          <w:spacing w:val="0"/>
          <w:sz w:val="20"/>
          <w:szCs w:val="20"/>
        </w:rPr>
        <w:t> est un outil d'édition et ne peut en aucun cas être tenu pour responsable du contenu éditorial de ce site.</w:t>
        <w:br/>
        <w:t>Les informations et/ou documents disponibles sur ce site sont susceptibles d’être modifiés à tout moment, et peuvent avoir fait l’objet de mises à jour.</w:t>
        <w:br/>
        <w:t>L’utilisation des informations et/ou documents disponibles sur ce site se fait sous l’entière et seule responsabilité de l’utilisateur, qui assume la totalité des conséquences pouvant en découler, sans recours contre l'éditeur.</w:t>
        <w:br/>
        <w:t>Gaëlle BOUYSSOU ne pourra en aucun cas être tenue responsable de tout dommage de quelque nature qu’il soit résultant de l’interprétation ou de l’utilisation des informations et/ou documents disponibles sur ce site.</w:t>
        <w:br/>
        <w:br/>
        <w:br/>
        <w:t>HÉBERGEMENT</w:t>
        <w:br/>
        <w:t>Ce site est hébergé chez OVH</w:t>
        <w:br/>
        <w:t>SAS au capital de 10 000 000 €</w:t>
        <w:br/>
        <w:t>RCS Roubaix – Tourcoing 424 761 419 00045</w:t>
        <w:br/>
        <w:t>Code APE 6202A</w:t>
        <w:br/>
        <w:t>N° TVA : FR 22 424 761 419</w:t>
        <w:br/>
        <w:t>Siège social : 2 rue Kellermann – 59100 Roubaix – France.</w:t>
        <w:br/>
        <w:br/>
        <w:t>ACCÈS AU SITE</w:t>
        <w:br/>
        <w:t>L’éditeur s’efforce de permettre l’accès au site 24 heures sur 24, 7 jours sur 7, sauf en cas de force majeure ou d’un événement hors du contrôle de l’éditeur, et sous réserve des éventuelles pannes et interventions de maintenance nécessaires au bon fonctionnement du site et des services.</w:t>
        <w:br/>
        <w:t>Par conséquent, l’éditeur ne peut garantir une disponibilité du site et/ou des services, une fiabilité des transmissions et des performances en termes de temps de réponse ou de qualité. Il n’est prévu aucune assistance technique vis à vis de l’utilisateur que ce soit par des moyens électronique ou téléphonique.</w:t>
        <w:br/>
        <w:t>La responsabilité de l’éditeur ne saurait être engagée en cas d’impossibilité d’accès à ce site et/ou d’utilisation des services.</w:t>
      </w:r>
      <w:r>
        <w:rPr>
          <w:rFonts w:ascii="Arial;Helvetica;sans-serif" w:hAnsi="Arial;Helvetica;sans-serif"/>
          <w:b w:val="false"/>
          <w:i w:val="false"/>
          <w:caps w:val="false"/>
          <w:smallCaps w:val="false"/>
          <w:color w:val="000000"/>
          <w:spacing w:val="0"/>
          <w:sz w:val="24"/>
          <w:szCs w:val="20"/>
        </w:rPr>
        <w:br/>
      </w:r>
      <w:r>
        <w:rPr>
          <w:b w:val="false"/>
          <w:i w:val="false"/>
          <w:caps w:val="false"/>
          <w:smallCaps w:val="false"/>
          <w:color w:val="000000"/>
          <w:spacing w:val="0"/>
          <w:sz w:val="20"/>
          <w:szCs w:val="20"/>
        </w:rPr>
        <w:t>Par ailleurs, l’éditeur peut être amené à interrompre le site ou une partie des services, à tout moment sans préavis, le tout sans droit à indemnités. L’utilisateur reconnaît et accepte que l’éditeur ne soit pas responsable des interruptions, et des conséquences qui peuvent en découler pour l’utilisateur ou tout tiers.</w:t>
        <w:br/>
        <w:br/>
        <w:t>MODIFICATION DES CONDITIONS D'UTILISATION</w:t>
        <w:br/>
        <w:t>L’éditeur se réserve la possibilité de modifier, à tout moment et sans préavis, les présentes conditions d’utilisation afin de les adapter aux évolutions du site et/ou de son exploitation.</w:t>
        <w:br/>
        <w:br/>
        <w:t>LIENS HYPERTEXTES</w:t>
        <w:br/>
        <w:t>Le site de Gaëlle BOUYSSOU peut contenir des liens hypertextes vers d’autres sites présents sur le réseau Internet. Les liens vers ces autres ressources vous font quitter le site de Gaëlle BOUYSSOU. Gaëlle BOUYSSOU n'est en aucun cas responsable du contenu des sites présentés en lien.</w:t>
        <w:br/>
      </w:r>
    </w:p>
    <w:p>
      <w:pPr>
        <w:pStyle w:val="Citations"/>
        <w:suppressAutoHyphens w:val="true"/>
        <w:spacing w:before="0" w:after="283"/>
        <w:ind w:left="0" w:right="567" w:hanging="0"/>
        <w:jc w:val="left"/>
        <w:rPr>
          <w:rFonts w:ascii="Times New Roman" w:hAnsi="Times New Roman"/>
          <w:b w:val="false"/>
          <w:i w:val="false"/>
          <w:caps w:val="false"/>
          <w:smallCaps w:val="false"/>
          <w:color w:val="000000"/>
          <w:spacing w:val="0"/>
          <w:sz w:val="20"/>
          <w:szCs w:val="20"/>
        </w:rPr>
      </w:pPr>
      <w:r>
        <w:rPr>
          <w:b w:val="false"/>
          <w:i w:val="false"/>
          <w:caps w:val="false"/>
          <w:smallCaps w:val="false"/>
          <w:color w:val="000000"/>
          <w:spacing w:val="0"/>
          <w:sz w:val="20"/>
          <w:szCs w:val="20"/>
        </w:rPr>
      </w:r>
    </w:p>
    <w:p>
      <w:pPr>
        <w:pStyle w:val="Citations"/>
        <w:suppressAutoHyphens w:val="true"/>
        <w:spacing w:before="0" w:after="283"/>
        <w:ind w:left="0" w:right="567" w:hanging="0"/>
        <w:jc w:val="left"/>
        <w:rPr>
          <w:rFonts w:ascii="Times New Roman" w:hAnsi="Times New Roman"/>
          <w:b w:val="false"/>
          <w:i w:val="false"/>
          <w:caps w:val="false"/>
          <w:smallCaps w:val="false"/>
          <w:color w:val="000000"/>
          <w:spacing w:val="0"/>
          <w:sz w:val="20"/>
          <w:szCs w:val="20"/>
        </w:rPr>
      </w:pPr>
      <w:r>
        <w:rPr>
          <w:b w:val="false"/>
          <w:i w:val="false"/>
          <w:caps w:val="false"/>
          <w:smallCaps w:val="false"/>
          <w:color w:val="000000"/>
          <w:spacing w:val="0"/>
          <w:sz w:val="20"/>
          <w:szCs w:val="20"/>
        </w:rPr>
        <w:t>POLITIQUE DE CONFIDENTIALITÉ ET GESTION DES DONNÉES PERSONNELLES</w:t>
        <w:br/>
        <w:br/>
        <w:t>Le RGPD est le Règlement Général sur la Protection des Données mis en place le 25 mai 2018.</w:t>
        <w:br/>
        <w:t>Lorsque vous utilisez le formulaire de contact de ce site, vos données personnelles sont collectées.</w:t>
        <w:br/>
        <w:br/>
        <w:t>1. nature des données collectées</w:t>
        <w:br/>
        <w:t>Ce site collecte uniquement les prénom, nom, email, téléphone de mes clients. Il ne collecte aucune données bancaires.</w:t>
        <w:br/>
        <w:br/>
        <w:t>2. utilisation de vos données</w:t>
        <w:br/>
        <w:t>Je suis la seule personne à utiliser les données enregistrées dans le formulaire de contact. Elles me servent à vous recontacter et sont uniquement enregistrées dans mon téléphone à ces fins. Vos données personnelles ne seront jamais communiquées à des tiers.</w:t>
        <w:br/>
        <w:br/>
        <w:t>3. localisation physique des données collectées</w:t>
        <w:br/>
        <w:t>Les données sont stockées sur le serveur de l'hébergeur français OVH</w:t>
        <w:br/>
        <w:t>SAS au capital de 10 000 000 €</w:t>
        <w:br/>
        <w:t>RCS Roubaix – Tourcoing 424 761 419 00045</w:t>
        <w:br/>
        <w:t>Code APE 6202A</w:t>
        <w:br/>
        <w:t>Siège social : 2 rue Kellermann – 59100 Roubaix – France.</w:t>
        <w:br/>
        <w:br/>
        <w:t>4. temps de conservation des données</w:t>
        <w:br/>
        <w:t>Les données sont conservées dans mon annuaire clients tant que vous ne demandez pas leur suppression. Je peux aussi supprimer ces données de moi-même, si je les juge obsolètes, inintéressantes ou erronées.</w:t>
        <w:br/>
        <w:br/>
        <w:t>5. qui a accès à vos données</w:t>
        <w:br/>
        <w:t>je suis la seule personne ayant accès à vos données.</w:t>
        <w:br/>
        <w:br/>
        <w:t>6. comment supprimer vos données (droit à l'oubli)</w:t>
        <w:br/>
        <w:t>Demandez-le moi par mail et je vous supprime de mon annuaire clients.</w:t>
        <w:br/>
        <w:br/>
        <w:t>UTILISATION DES COOKIES</w:t>
        <w:br/>
        <w:br/>
        <w:t>Ce site utilise des cookies. Suite à la loi du 5 Décembre 2013 de la CNIL, les sites ont l'obligation de solliciter au préalable le consentement des visiteurs pour l'utilisation de cookies. C'est pourquoi dès votre arrivée sur ce site, une notification d'acceptation des cookies vous a été soumise. Un cookie, c'est quoi ? Un cookie est un fichier de petite taille, qui ne permet pas l’identification de l’utilisateur, mais qui enregistre des informations relatives à la navigation d’un ordinateur sur un site. Ces informations servent à améliorer votre expérience d'utilisateur. Ce peut être par exemple pour des statistiques de trafic, pour noter des actions déjà effectuées.</w:t>
      </w:r>
    </w:p>
    <w:p>
      <w:pPr>
        <w:pStyle w:val="Corpsdetexte"/>
        <w:jc w:val="both"/>
        <w:rPr>
          <w:rFonts w:ascii="Times New Roman" w:hAnsi="Times New Roman"/>
          <w:color w:val="000000"/>
          <w:sz w:val="20"/>
          <w:szCs w:val="20"/>
        </w:rPr>
      </w:pPr>
      <w:r>
        <w:rPr>
          <w:color w:val="000000"/>
          <w:sz w:val="20"/>
          <w:szCs w:val="20"/>
        </w:rPr>
      </w:r>
    </w:p>
    <w:p>
      <w:pPr>
        <w:pStyle w:val="Corpsdetexte"/>
        <w:jc w:val="both"/>
        <w:rPr>
          <w:rFonts w:ascii="Times New Roman" w:hAnsi="Times New Roman"/>
          <w:color w:val="000000"/>
          <w:sz w:val="20"/>
          <w:szCs w:val="20"/>
        </w:rPr>
      </w:pPr>
      <w:r>
        <w:rPr>
          <w:color w:val="000000"/>
          <w:sz w:val="20"/>
          <w:szCs w:val="20"/>
        </w:rPr>
      </w:r>
    </w:p>
    <w:p>
      <w:pPr>
        <w:pStyle w:val="Corpsdetexte"/>
        <w:jc w:val="both"/>
        <w:rPr>
          <w:rFonts w:ascii="Times New Roman" w:hAnsi="Times New Roman"/>
          <w:color w:val="000000"/>
          <w:sz w:val="20"/>
          <w:szCs w:val="20"/>
        </w:rPr>
      </w:pPr>
      <w:r>
        <w:rPr>
          <w:color w:val="000000"/>
          <w:sz w:val="20"/>
          <w:szCs w:val="20"/>
        </w:rPr>
        <w:t>Clause n° 1 : Objet</w:t>
      </w:r>
    </w:p>
    <w:p>
      <w:pPr>
        <w:pStyle w:val="Corpsdetexte"/>
        <w:rPr>
          <w:rFonts w:ascii="Times New Roman" w:hAnsi="Times New Roman"/>
          <w:color w:val="000000"/>
          <w:sz w:val="20"/>
          <w:szCs w:val="20"/>
        </w:rPr>
      </w:pPr>
      <w:r>
        <w:rPr>
          <w:color w:val="000000"/>
          <w:sz w:val="20"/>
          <w:szCs w:val="20"/>
        </w:rPr>
        <w:t>Les conditions générales de vente décrites ci-après détaillent les droits et obligations de l'entreprise Gaëlle BOUYSSOU et de son client dans le cadre de la vente de bijoux et accessoires qu'elles soient par internet ou sur les marchés.</w:t>
        <w:br/>
        <w:br/>
        <w:t>Toute prestation accomplie par Gaëlle BOUYSSOU implique donc l'adhésion sans réserve de l'acheteur aux présentes conditions générales de vente.</w:t>
      </w:r>
    </w:p>
    <w:p>
      <w:pPr>
        <w:pStyle w:val="Corpsdetexte"/>
        <w:jc w:val="both"/>
        <w:rPr>
          <w:rFonts w:ascii="Times New Roman" w:hAnsi="Times New Roman"/>
          <w:color w:val="000000"/>
          <w:sz w:val="20"/>
          <w:szCs w:val="20"/>
        </w:rPr>
      </w:pPr>
      <w:r>
        <w:rPr>
          <w:color w:val="000000"/>
          <w:sz w:val="20"/>
          <w:szCs w:val="20"/>
        </w:rPr>
      </w:r>
    </w:p>
    <w:p>
      <w:pPr>
        <w:pStyle w:val="Corpsdetexte"/>
        <w:jc w:val="both"/>
        <w:rPr>
          <w:rFonts w:ascii="Times New Roman" w:hAnsi="Times New Roman"/>
          <w:color w:val="000000"/>
          <w:sz w:val="20"/>
          <w:szCs w:val="20"/>
        </w:rPr>
      </w:pPr>
      <w:r>
        <w:rPr>
          <w:color w:val="000000"/>
          <w:sz w:val="20"/>
          <w:szCs w:val="20"/>
        </w:rPr>
        <w:t>Clause n°2 : Articles</w:t>
      </w:r>
    </w:p>
    <w:p>
      <w:pPr>
        <w:pStyle w:val="Corpsdetexte"/>
        <w:jc w:val="both"/>
        <w:rPr/>
      </w:pPr>
      <w:r>
        <w:rPr>
          <w:color w:val="000000"/>
          <w:sz w:val="20"/>
          <w:szCs w:val="20"/>
        </w:rPr>
        <w:t>Dans le cas d'un achat en ligne : Les articles proposés à la vente sont ceux qui figurent sur </w:t>
      </w:r>
      <w:hyperlink r:id="rId8" w:tgtFrame="_top">
        <w:r>
          <w:rPr>
            <w:rStyle w:val="LienInternet"/>
          </w:rPr>
          <w:t>www.gaelle-bouyssou-bijoux.com</w:t>
        </w:r>
      </w:hyperlink>
      <w:r>
        <w:rPr>
          <w:color w:val="000000"/>
          <w:sz w:val="20"/>
          <w:szCs w:val="20"/>
        </w:rPr>
        <w:t xml:space="preserve">  au jour de la consultation par l'acheteur et dans la limite des stocks disponibles. A défaut de disponibilité du produit, le vendeur s'engage à en informer l'acheteur au plus vite par courrier électronique.</w:t>
      </w:r>
    </w:p>
    <w:p>
      <w:pPr>
        <w:pStyle w:val="Corpsdetexte"/>
        <w:jc w:val="both"/>
        <w:rPr>
          <w:rFonts w:ascii="Times New Roman" w:hAnsi="Times New Roman"/>
          <w:color w:val="000000"/>
          <w:sz w:val="20"/>
          <w:szCs w:val="20"/>
        </w:rPr>
      </w:pPr>
      <w:r>
        <w:rPr>
          <w:color w:val="000000"/>
          <w:sz w:val="20"/>
          <w:szCs w:val="20"/>
        </w:rPr>
        <w:t>Le vendeur s'efforce de présenter des photos des articles qui soient le plus fidèles possible, mais qui restent non contractuelles, les nuances de couleur et le rendu des matières pouvant être différents à l'écran de la réalité, en fonction de l'éclairage ou de la résolution de l'écran de l'acheteur.</w:t>
      </w:r>
    </w:p>
    <w:p>
      <w:pPr>
        <w:pStyle w:val="Corpsdetexte"/>
        <w:jc w:val="both"/>
        <w:rPr>
          <w:rFonts w:ascii="Times New Roman" w:hAnsi="Times New Roman"/>
          <w:color w:val="000000"/>
          <w:sz w:val="20"/>
          <w:szCs w:val="20"/>
        </w:rPr>
      </w:pPr>
      <w:r>
        <w:rPr>
          <w:color w:val="000000"/>
          <w:sz w:val="20"/>
          <w:szCs w:val="20"/>
        </w:rPr>
      </w:r>
    </w:p>
    <w:p>
      <w:pPr>
        <w:pStyle w:val="Corpsdetexte"/>
        <w:jc w:val="both"/>
        <w:rPr>
          <w:rFonts w:ascii="Times New Roman" w:hAnsi="Times New Roman"/>
          <w:color w:val="000000"/>
          <w:sz w:val="20"/>
          <w:szCs w:val="20"/>
        </w:rPr>
      </w:pPr>
      <w:r>
        <w:rPr>
          <w:color w:val="000000"/>
          <w:sz w:val="20"/>
          <w:szCs w:val="20"/>
        </w:rPr>
      </w:r>
    </w:p>
    <w:p>
      <w:pPr>
        <w:pStyle w:val="Corpsdetexte"/>
        <w:jc w:val="both"/>
        <w:rPr>
          <w:rFonts w:ascii="Times New Roman" w:hAnsi="Times New Roman"/>
          <w:color w:val="000000"/>
          <w:sz w:val="20"/>
          <w:szCs w:val="20"/>
        </w:rPr>
      </w:pPr>
      <w:r>
        <w:rPr>
          <w:color w:val="000000"/>
          <w:sz w:val="20"/>
          <w:szCs w:val="20"/>
        </w:rPr>
        <w:t>Clause n° 3 : Prix</w:t>
      </w:r>
    </w:p>
    <w:p>
      <w:pPr>
        <w:pStyle w:val="Corpsdetexte"/>
        <w:jc w:val="both"/>
        <w:rPr>
          <w:rFonts w:ascii="Times New Roman" w:hAnsi="Times New Roman"/>
          <w:color w:val="000000"/>
          <w:sz w:val="20"/>
          <w:szCs w:val="20"/>
        </w:rPr>
      </w:pPr>
      <w:r>
        <w:rPr>
          <w:color w:val="000000"/>
          <w:sz w:val="20"/>
          <w:szCs w:val="20"/>
        </w:rPr>
        <w:t>Les prix des marchandises vendues sont ceux en vigueur au jour de la prise de commande. Ils sont libellés en euros et non soumis à la TVA - art. 293 B du CGI.</w:t>
      </w:r>
    </w:p>
    <w:p>
      <w:pPr>
        <w:pStyle w:val="Corpsdetexte"/>
        <w:jc w:val="both"/>
        <w:rPr>
          <w:rFonts w:ascii="Times New Roman" w:hAnsi="Times New Roman"/>
          <w:color w:val="000000"/>
          <w:sz w:val="20"/>
          <w:szCs w:val="20"/>
        </w:rPr>
      </w:pPr>
      <w:r>
        <w:rPr>
          <w:color w:val="000000"/>
          <w:sz w:val="20"/>
          <w:szCs w:val="20"/>
        </w:rPr>
        <w:t>Des frais de port peuvent être ajoutés en fonction du mode de livraison : marchés ou foires, mail ou site internet.</w:t>
      </w:r>
    </w:p>
    <w:p>
      <w:pPr>
        <w:pStyle w:val="Corpsdetexte"/>
        <w:jc w:val="both"/>
        <w:rPr>
          <w:rFonts w:ascii="Times New Roman" w:hAnsi="Times New Roman"/>
          <w:color w:val="000000"/>
          <w:sz w:val="20"/>
          <w:szCs w:val="20"/>
        </w:rPr>
      </w:pPr>
      <w:r>
        <w:rPr>
          <w:color w:val="000000"/>
          <w:sz w:val="20"/>
          <w:szCs w:val="20"/>
        </w:rPr>
        <w:t>En cas de commande sur -mesure/</w:t>
      </w:r>
      <w:r>
        <w:rPr>
          <w:color w:val="000000"/>
          <w:sz w:val="20"/>
          <w:szCs w:val="20"/>
        </w:rPr>
        <w:t>personnalisée</w:t>
      </w:r>
      <w:r>
        <w:rPr>
          <w:color w:val="000000"/>
          <w:sz w:val="20"/>
          <w:szCs w:val="20"/>
        </w:rPr>
        <w:t xml:space="preserve"> : Les prix des prestations exécutées sont mentionnés sur le devis accepté et signé par le client durant la durée de validité du devis </w:t>
      </w:r>
      <w:r>
        <w:rPr>
          <w:color w:val="000000"/>
          <w:sz w:val="20"/>
          <w:szCs w:val="20"/>
        </w:rPr>
        <w:t>précisée sur celui ci</w:t>
      </w:r>
      <w:r>
        <w:rPr>
          <w:color w:val="000000"/>
          <w:sz w:val="20"/>
          <w:szCs w:val="20"/>
        </w:rPr>
        <w:t>. Si aucun devis n’a été établi, ou si le devis établi était un estimatif (mention portée sur le devis), les prix des prestations exécutées sont convenus avec le client et mentionnés sur le contrat correspondant à la prestation effectuée, signé par les deux parties.</w:t>
      </w:r>
    </w:p>
    <w:p>
      <w:pPr>
        <w:pStyle w:val="Corpsdetexte"/>
        <w:jc w:val="both"/>
        <w:rPr>
          <w:rFonts w:ascii="Times New Roman" w:hAnsi="Times New Roman"/>
          <w:color w:val="000000"/>
          <w:sz w:val="20"/>
          <w:szCs w:val="20"/>
        </w:rPr>
      </w:pPr>
      <w:r>
        <w:rPr>
          <w:color w:val="000000"/>
          <w:sz w:val="20"/>
          <w:szCs w:val="20"/>
        </w:rPr>
        <w:t>L'entreprise Gaëlle BOUYSSOU s'accorde le droit de modifier ses tarifs à tout moment. Toutefois, elle s'engage à facturer les marchandises commandées aux prix indiqués lors de l'enregistrement de la commande.</w:t>
      </w:r>
    </w:p>
    <w:p>
      <w:pPr>
        <w:pStyle w:val="Corpsdetexte"/>
        <w:jc w:val="both"/>
        <w:rPr>
          <w:rFonts w:ascii="Times New Roman" w:hAnsi="Times New Roman"/>
          <w:color w:val="000000"/>
          <w:sz w:val="20"/>
          <w:szCs w:val="20"/>
        </w:rPr>
      </w:pPr>
      <w:r>
        <w:rPr>
          <w:color w:val="000000"/>
          <w:sz w:val="20"/>
          <w:szCs w:val="20"/>
        </w:rPr>
      </w:r>
    </w:p>
    <w:p>
      <w:pPr>
        <w:pStyle w:val="Corpsdetexte"/>
        <w:jc w:val="both"/>
        <w:rPr>
          <w:rFonts w:ascii="Times New Roman" w:hAnsi="Times New Roman"/>
          <w:sz w:val="20"/>
          <w:szCs w:val="20"/>
        </w:rPr>
      </w:pPr>
      <w:r>
        <w:rPr>
          <w:sz w:val="20"/>
          <w:szCs w:val="20"/>
        </w:rPr>
        <w:t xml:space="preserve">Clause n° </w:t>
      </w:r>
      <w:r>
        <w:rPr>
          <w:sz w:val="20"/>
          <w:szCs w:val="20"/>
        </w:rPr>
        <w:t>4</w:t>
      </w:r>
      <w:r>
        <w:rPr>
          <w:sz w:val="20"/>
          <w:szCs w:val="20"/>
        </w:rPr>
        <w:t xml:space="preserve"> : Escompte</w:t>
      </w:r>
    </w:p>
    <w:p>
      <w:pPr>
        <w:pStyle w:val="Corpsdetexte"/>
        <w:jc w:val="both"/>
        <w:rPr>
          <w:rFonts w:ascii="Times New Roman" w:hAnsi="Times New Roman"/>
          <w:sz w:val="20"/>
          <w:szCs w:val="20"/>
        </w:rPr>
      </w:pPr>
      <w:r>
        <w:rPr>
          <w:sz w:val="20"/>
          <w:szCs w:val="20"/>
        </w:rPr>
        <w:t>Aucun escompte ne sera consenti en cas de paiement anticipé.</w:t>
      </w:r>
    </w:p>
    <w:p>
      <w:pPr>
        <w:pStyle w:val="Corpsdetexte"/>
        <w:jc w:val="both"/>
        <w:rPr>
          <w:rFonts w:ascii="Times New Roman" w:hAnsi="Times New Roman"/>
          <w:sz w:val="20"/>
          <w:szCs w:val="20"/>
        </w:rPr>
      </w:pPr>
      <w:r>
        <w:rPr>
          <w:sz w:val="20"/>
          <w:szCs w:val="20"/>
        </w:rPr>
      </w:r>
    </w:p>
    <w:p>
      <w:pPr>
        <w:pStyle w:val="Corpsdetexte"/>
        <w:jc w:val="both"/>
        <w:rPr>
          <w:rFonts w:ascii="Times New Roman" w:hAnsi="Times New Roman"/>
          <w:sz w:val="20"/>
          <w:szCs w:val="20"/>
        </w:rPr>
      </w:pPr>
      <w:r>
        <w:rPr>
          <w:sz w:val="20"/>
          <w:szCs w:val="20"/>
        </w:rPr>
        <w:t xml:space="preserve">Clause n° </w:t>
      </w:r>
      <w:r>
        <w:rPr>
          <w:sz w:val="20"/>
          <w:szCs w:val="20"/>
        </w:rPr>
        <w:t>5</w:t>
      </w:r>
      <w:r>
        <w:rPr>
          <w:sz w:val="20"/>
          <w:szCs w:val="20"/>
        </w:rPr>
        <w:t xml:space="preserve"> : Modalités de paiement</w:t>
      </w:r>
    </w:p>
    <w:p>
      <w:pPr>
        <w:pStyle w:val="Corpsdetexte"/>
        <w:jc w:val="both"/>
        <w:rPr>
          <w:rFonts w:ascii="Times New Roman" w:hAnsi="Times New Roman"/>
          <w:sz w:val="20"/>
          <w:szCs w:val="20"/>
        </w:rPr>
      </w:pPr>
      <w:r>
        <w:rPr>
          <w:sz w:val="20"/>
          <w:szCs w:val="20"/>
        </w:rPr>
        <w:t>Le règlement des commandes s'effectue : </w:t>
      </w:r>
    </w:p>
    <w:p>
      <w:pPr>
        <w:pStyle w:val="Corpsdetexte"/>
        <w:numPr>
          <w:ilvl w:val="0"/>
          <w:numId w:val="2"/>
        </w:numPr>
        <w:jc w:val="both"/>
        <w:rPr>
          <w:rFonts w:ascii="Times New Roman" w:hAnsi="Times New Roman"/>
          <w:sz w:val="20"/>
          <w:szCs w:val="20"/>
        </w:rPr>
      </w:pPr>
      <w:r>
        <w:rPr>
          <w:sz w:val="20"/>
          <w:szCs w:val="20"/>
        </w:rPr>
        <w:t>soit par chèque ;</w:t>
      </w:r>
    </w:p>
    <w:p>
      <w:pPr>
        <w:pStyle w:val="Corpsdetexte"/>
        <w:numPr>
          <w:ilvl w:val="0"/>
          <w:numId w:val="2"/>
        </w:numPr>
        <w:jc w:val="both"/>
        <w:rPr>
          <w:rFonts w:ascii="Times New Roman" w:hAnsi="Times New Roman"/>
          <w:sz w:val="20"/>
          <w:szCs w:val="20"/>
        </w:rPr>
      </w:pPr>
      <w:r>
        <w:rPr>
          <w:sz w:val="20"/>
          <w:szCs w:val="20"/>
        </w:rPr>
        <w:t>soit par carte bancaire via paypal ;</w:t>
      </w:r>
    </w:p>
    <w:p>
      <w:pPr>
        <w:pStyle w:val="Corpsdetexte"/>
        <w:numPr>
          <w:ilvl w:val="0"/>
          <w:numId w:val="2"/>
        </w:numPr>
        <w:jc w:val="both"/>
        <w:rPr>
          <w:rFonts w:ascii="Times New Roman" w:hAnsi="Times New Roman"/>
          <w:sz w:val="20"/>
          <w:szCs w:val="20"/>
        </w:rPr>
      </w:pPr>
      <w:r>
        <w:rPr>
          <w:sz w:val="20"/>
          <w:szCs w:val="20"/>
        </w:rPr>
        <w:t>soit en espèces (jusqu'à 1000 euros d'achat)</w:t>
      </w:r>
    </w:p>
    <w:p>
      <w:pPr>
        <w:pStyle w:val="Corpsdetexte"/>
        <w:jc w:val="both"/>
        <w:rPr>
          <w:rFonts w:ascii="Times New Roman" w:hAnsi="Times New Roman"/>
          <w:sz w:val="20"/>
          <w:szCs w:val="20"/>
        </w:rPr>
      </w:pPr>
      <w:r>
        <w:rPr>
          <w:sz w:val="20"/>
          <w:szCs w:val="20"/>
        </w:rPr>
        <w:t xml:space="preserve">Achat en ligne : </w:t>
      </w:r>
      <w:r>
        <w:rPr>
          <w:sz w:val="20"/>
          <w:szCs w:val="20"/>
        </w:rPr>
        <w:t>Lors de l'enregistrement de la commande</w:t>
      </w:r>
      <w:r>
        <w:rPr>
          <w:sz w:val="20"/>
          <w:szCs w:val="20"/>
        </w:rPr>
        <w:t xml:space="preserve"> pour un achat en ligne</w:t>
      </w:r>
      <w:r>
        <w:rPr>
          <w:sz w:val="20"/>
          <w:szCs w:val="20"/>
        </w:rPr>
        <w:t xml:space="preserve">, l'acheteur devra verser la totalité du montant de la commande et ce avant la réception du produit </w:t>
      </w:r>
    </w:p>
    <w:p>
      <w:pPr>
        <w:pStyle w:val="Corpsdetexte"/>
        <w:jc w:val="both"/>
        <w:rPr>
          <w:rFonts w:ascii="Times New Roman" w:hAnsi="Times New Roman"/>
          <w:sz w:val="20"/>
          <w:szCs w:val="20"/>
        </w:rPr>
      </w:pPr>
      <w:r>
        <w:rPr>
          <w:sz w:val="20"/>
          <w:szCs w:val="20"/>
        </w:rPr>
        <w:t>Achat sur marchés/foires/expositions : L'acheteur devra effectuer un</w:t>
      </w:r>
      <w:r>
        <w:rPr>
          <w:sz w:val="20"/>
          <w:szCs w:val="20"/>
        </w:rPr>
        <w:t xml:space="preserve"> paiement </w:t>
      </w:r>
      <w:r>
        <w:rPr>
          <w:sz w:val="20"/>
          <w:szCs w:val="20"/>
        </w:rPr>
        <w:t xml:space="preserve">au </w:t>
      </w:r>
      <w:r>
        <w:rPr>
          <w:sz w:val="20"/>
          <w:szCs w:val="20"/>
        </w:rPr>
        <w:t>comptant.</w:t>
      </w:r>
    </w:p>
    <w:p>
      <w:pPr>
        <w:pStyle w:val="Corpsdetexte"/>
        <w:jc w:val="both"/>
        <w:rPr>
          <w:rFonts w:ascii="Times New Roman" w:hAnsi="Times New Roman"/>
          <w:sz w:val="20"/>
          <w:szCs w:val="20"/>
        </w:rPr>
      </w:pPr>
      <w:r>
        <w:rPr>
          <w:sz w:val="20"/>
          <w:szCs w:val="20"/>
        </w:rPr>
        <w:t xml:space="preserve">En cas de commande sur mesure, </w:t>
      </w:r>
      <w:r>
        <w:rPr>
          <w:sz w:val="20"/>
          <w:szCs w:val="20"/>
        </w:rPr>
        <w:t>le client</w:t>
      </w:r>
      <w:r>
        <w:rPr>
          <w:sz w:val="20"/>
          <w:szCs w:val="20"/>
        </w:rPr>
        <w:t xml:space="preserve"> devra verser un acompte de 50% du montant global de la commande, le solde devant être payé à réception des marchandises.</w:t>
      </w:r>
    </w:p>
    <w:p>
      <w:pPr>
        <w:pStyle w:val="Corpsdetexte"/>
        <w:jc w:val="both"/>
        <w:rPr>
          <w:rFonts w:ascii="Times New Roman" w:hAnsi="Times New Roman"/>
          <w:sz w:val="20"/>
          <w:szCs w:val="20"/>
        </w:rPr>
      </w:pPr>
      <w:r>
        <w:rPr>
          <w:sz w:val="20"/>
          <w:szCs w:val="20"/>
        </w:rPr>
      </w:r>
    </w:p>
    <w:p>
      <w:pPr>
        <w:pStyle w:val="Corpsdetexte"/>
        <w:jc w:val="both"/>
        <w:rPr>
          <w:rFonts w:ascii="Times New Roman" w:hAnsi="Times New Roman"/>
          <w:sz w:val="20"/>
          <w:szCs w:val="20"/>
        </w:rPr>
      </w:pPr>
      <w:r>
        <w:rPr>
          <w:sz w:val="20"/>
          <w:szCs w:val="20"/>
        </w:rPr>
        <w:t xml:space="preserve">Clause n° </w:t>
      </w:r>
      <w:r>
        <w:rPr>
          <w:sz w:val="20"/>
          <w:szCs w:val="20"/>
        </w:rPr>
        <w:t>6</w:t>
      </w:r>
      <w:r>
        <w:rPr>
          <w:sz w:val="20"/>
          <w:szCs w:val="20"/>
        </w:rPr>
        <w:t xml:space="preserve"> : Retard de paiement</w:t>
      </w:r>
    </w:p>
    <w:p>
      <w:pPr>
        <w:pStyle w:val="Normal"/>
        <w:rPr>
          <w:rFonts w:ascii="Times New Roman" w:hAnsi="Times New Roman"/>
          <w:sz w:val="20"/>
          <w:szCs w:val="20"/>
        </w:rPr>
      </w:pPr>
      <w:r>
        <w:rPr>
          <w:sz w:val="20"/>
          <w:szCs w:val="20"/>
        </w:rPr>
        <w:t>En cas de retard/défaut de paiement total ou partiel des marchandises au jour de la remise des produits commandés, la marchandise ne pourra être remis à l'acheteur.</w:t>
      </w:r>
    </w:p>
    <w:p>
      <w:pPr>
        <w:pStyle w:val="Normal"/>
        <w:rPr>
          <w:rFonts w:ascii="Times New Roman" w:hAnsi="Times New Roman"/>
          <w:sz w:val="20"/>
          <w:szCs w:val="20"/>
        </w:rPr>
      </w:pPr>
      <w:r>
        <w:rPr>
          <w:sz w:val="20"/>
          <w:szCs w:val="20"/>
        </w:rPr>
      </w:r>
    </w:p>
    <w:p>
      <w:pPr>
        <w:pStyle w:val="Corpsdetexte"/>
        <w:jc w:val="both"/>
        <w:rPr>
          <w:rFonts w:ascii="Times New Roman" w:hAnsi="Times New Roman"/>
          <w:sz w:val="20"/>
          <w:szCs w:val="20"/>
        </w:rPr>
      </w:pPr>
      <w:r>
        <w:rPr>
          <w:sz w:val="20"/>
          <w:szCs w:val="20"/>
        </w:rPr>
      </w:r>
    </w:p>
    <w:p>
      <w:pPr>
        <w:pStyle w:val="Corpsdetexte"/>
        <w:jc w:val="both"/>
        <w:rPr>
          <w:rFonts w:ascii="Times New Roman" w:hAnsi="Times New Roman"/>
          <w:sz w:val="20"/>
          <w:szCs w:val="20"/>
        </w:rPr>
      </w:pPr>
      <w:r>
        <w:rPr>
          <w:sz w:val="20"/>
          <w:szCs w:val="20"/>
        </w:rPr>
        <w:t xml:space="preserve">Clause n° </w:t>
      </w:r>
      <w:r>
        <w:rPr>
          <w:sz w:val="20"/>
          <w:szCs w:val="20"/>
        </w:rPr>
        <w:t>7</w:t>
      </w:r>
      <w:r>
        <w:rPr>
          <w:sz w:val="20"/>
          <w:szCs w:val="20"/>
        </w:rPr>
        <w:t xml:space="preserve"> : Clause de réserve de propriété</w:t>
      </w:r>
    </w:p>
    <w:p>
      <w:pPr>
        <w:pStyle w:val="Corpsdetexte"/>
        <w:jc w:val="both"/>
        <w:rPr>
          <w:rFonts w:ascii="Times New Roman" w:hAnsi="Times New Roman"/>
          <w:sz w:val="20"/>
          <w:szCs w:val="20"/>
        </w:rPr>
      </w:pPr>
      <w:r>
        <w:rPr>
          <w:sz w:val="20"/>
          <w:szCs w:val="20"/>
        </w:rPr>
        <w:t>L'entreprise Gaëlle BOUYSSOU conserve la propriété des objets vendus jusqu'au paiement intégral du prix.</w:t>
      </w:r>
    </w:p>
    <w:p>
      <w:pPr>
        <w:pStyle w:val="Normal"/>
        <w:rPr>
          <w:rFonts w:ascii="Times New Roman" w:hAnsi="Times New Roman"/>
          <w:sz w:val="20"/>
          <w:szCs w:val="20"/>
        </w:rPr>
      </w:pPr>
      <w:r>
        <w:rPr>
          <w:sz w:val="20"/>
          <w:szCs w:val="20"/>
        </w:rPr>
      </w:r>
    </w:p>
    <w:p>
      <w:pPr>
        <w:pStyle w:val="Corpsdetexte"/>
        <w:jc w:val="both"/>
        <w:rPr>
          <w:rFonts w:ascii="Times New Roman" w:hAnsi="Times New Roman"/>
          <w:sz w:val="20"/>
          <w:szCs w:val="20"/>
        </w:rPr>
      </w:pPr>
      <w:r>
        <w:rPr>
          <w:sz w:val="20"/>
          <w:szCs w:val="20"/>
        </w:rPr>
        <w:t xml:space="preserve">Clause n° </w:t>
      </w:r>
      <w:r>
        <w:rPr>
          <w:sz w:val="20"/>
          <w:szCs w:val="20"/>
        </w:rPr>
        <w:t>8</w:t>
      </w:r>
      <w:r>
        <w:rPr>
          <w:sz w:val="20"/>
          <w:szCs w:val="20"/>
        </w:rPr>
        <w:t xml:space="preserve"> : Clause résolutoire</w:t>
      </w:r>
    </w:p>
    <w:p>
      <w:pPr>
        <w:pStyle w:val="Corpsdetexte"/>
        <w:jc w:val="both"/>
        <w:rPr>
          <w:rFonts w:ascii="Times New Roman" w:hAnsi="Times New Roman"/>
          <w:sz w:val="20"/>
          <w:szCs w:val="20"/>
        </w:rPr>
      </w:pPr>
      <w:r>
        <w:rPr>
          <w:sz w:val="20"/>
          <w:szCs w:val="20"/>
        </w:rPr>
        <w:t xml:space="preserve">Si l'acheteur ne s'est pas acquitté des sommes dues dans le délai imparti par le contrat de vente, le vendeur n’est pas tenu de son obligation de mise à disposition de la marchandise commandée. </w:t>
      </w:r>
    </w:p>
    <w:p>
      <w:pPr>
        <w:pStyle w:val="Normal"/>
        <w:rPr>
          <w:rFonts w:ascii="Times New Roman" w:hAnsi="Times New Roman"/>
          <w:sz w:val="20"/>
          <w:szCs w:val="20"/>
        </w:rPr>
      </w:pPr>
      <w:r>
        <w:rPr>
          <w:sz w:val="20"/>
          <w:szCs w:val="20"/>
        </w:rPr>
        <w:t xml:space="preserve">Dans le cas où la livraison de la marchandise n’est pas opérée au moment où doit être payé le prix, l’absence de paiement suspend l’obligation de durée. </w:t>
        <w:br/>
        <w:br/>
        <w:t>Clause n°</w:t>
      </w:r>
      <w:r>
        <w:rPr>
          <w:sz w:val="20"/>
          <w:szCs w:val="20"/>
        </w:rPr>
        <w:t>9</w:t>
      </w:r>
      <w:r>
        <w:rPr>
          <w:sz w:val="20"/>
          <w:szCs w:val="20"/>
        </w:rPr>
        <w:t> : Garanties légales</w:t>
      </w:r>
    </w:p>
    <w:p>
      <w:pPr>
        <w:pStyle w:val="Corpsdetexte"/>
        <w:pBdr>
          <w:top w:val="single" w:sz="4" w:space="1" w:color="000000"/>
          <w:left w:val="single" w:sz="4" w:space="4" w:color="000000"/>
          <w:bottom w:val="single" w:sz="4" w:space="1" w:color="000000"/>
          <w:right w:val="single" w:sz="4" w:space="4" w:color="000000"/>
        </w:pBdr>
        <w:jc w:val="both"/>
        <w:rPr>
          <w:rFonts w:ascii="Times New Roman" w:hAnsi="Times New Roman"/>
          <w:sz w:val="20"/>
          <w:szCs w:val="20"/>
        </w:rPr>
      </w:pPr>
      <w:r>
        <w:rPr>
          <w:sz w:val="20"/>
          <w:szCs w:val="20"/>
        </w:rPr>
        <w:t>La garantie des vices cachés (article 1641 et suivants du Code civil)</w:t>
      </w:r>
    </w:p>
    <w:p>
      <w:pPr>
        <w:pStyle w:val="Corpsdetexte"/>
        <w:pBdr>
          <w:top w:val="single" w:sz="4" w:space="1" w:color="000000"/>
          <w:left w:val="single" w:sz="4" w:space="4" w:color="000000"/>
          <w:bottom w:val="single" w:sz="4" w:space="1" w:color="000000"/>
          <w:right w:val="single" w:sz="4" w:space="4" w:color="000000"/>
        </w:pBdr>
        <w:jc w:val="both"/>
        <w:rPr>
          <w:rFonts w:ascii="Times New Roman" w:hAnsi="Times New Roman"/>
          <w:sz w:val="20"/>
          <w:szCs w:val="20"/>
        </w:rPr>
      </w:pPr>
      <w:r>
        <w:rPr>
          <w:rFonts w:eastAsia="Webdings" w:cs="Webdings"/>
          <w:sz w:val="20"/>
          <w:szCs w:val="20"/>
        </w:rPr>
        <w:t xml:space="preserve"> </w:t>
      </w:r>
      <w:r>
        <w:rPr>
          <w:sz w:val="20"/>
          <w:szCs w:val="20"/>
        </w:rPr>
        <w:t>L’acheteur peut recourir à la garantie légale contre le vendeur à la découverte du vice caché.</w:t>
      </w:r>
    </w:p>
    <w:p>
      <w:pPr>
        <w:pStyle w:val="Corpsdetexte"/>
        <w:widowControl/>
        <w:pBdr>
          <w:top w:val="single" w:sz="4" w:space="1" w:color="000000"/>
          <w:left w:val="single" w:sz="4" w:space="4" w:color="000000"/>
          <w:bottom w:val="single" w:sz="4" w:space="1" w:color="000000"/>
          <w:right w:val="single" w:sz="4" w:space="4" w:color="000000"/>
        </w:pBdr>
        <w:spacing w:before="0" w:after="150"/>
        <w:rPr>
          <w:rFonts w:ascii="Times New Roman" w:hAnsi="Times New Roman"/>
          <w:color w:val="000000"/>
          <w:sz w:val="20"/>
          <w:szCs w:val="20"/>
        </w:rPr>
      </w:pPr>
      <w:r>
        <w:rPr>
          <w:rFonts w:eastAsia="Webdings" w:cs="Webdings"/>
          <w:color w:val="000000"/>
          <w:sz w:val="20"/>
          <w:szCs w:val="20"/>
        </w:rPr>
        <w:t xml:space="preserve"> </w:t>
      </w:r>
      <w:r>
        <w:rPr>
          <w:color w:val="000000"/>
          <w:sz w:val="20"/>
          <w:szCs w:val="20"/>
        </w:rPr>
        <w:t>En cas de mise en œuvre de la garantie contre les défauts cachés de la chose vendue, le consommateur peut choisir entre le remboursement ou le remplacement du produit.</w:t>
      </w:r>
    </w:p>
    <w:p>
      <w:pPr>
        <w:pStyle w:val="Corpsdetexte"/>
        <w:pBdr>
          <w:top w:val="single" w:sz="4" w:space="1" w:color="000000"/>
          <w:left w:val="single" w:sz="4" w:space="4" w:color="000000"/>
          <w:bottom w:val="single" w:sz="4" w:space="1" w:color="000000"/>
          <w:right w:val="single" w:sz="4" w:space="4" w:color="000000"/>
        </w:pBdr>
        <w:jc w:val="both"/>
        <w:rPr>
          <w:rFonts w:ascii="Times New Roman" w:hAnsi="Times New Roman"/>
          <w:sz w:val="20"/>
          <w:szCs w:val="20"/>
        </w:rPr>
      </w:pPr>
      <w:r>
        <w:rPr>
          <w:sz w:val="20"/>
          <w:szCs w:val="20"/>
        </w:rPr>
      </w:r>
    </w:p>
    <w:p>
      <w:pPr>
        <w:pStyle w:val="Corpsdetexte"/>
        <w:jc w:val="both"/>
        <w:rPr>
          <w:rFonts w:ascii="Times New Roman" w:hAnsi="Times New Roman"/>
          <w:sz w:val="20"/>
          <w:szCs w:val="20"/>
        </w:rPr>
      </w:pPr>
      <w:r>
        <w:rPr>
          <w:sz w:val="20"/>
          <w:szCs w:val="20"/>
        </w:rPr>
        <w:t>La garantie de conformité (article L.217- 4 et suivants du Code de la consommation)</w:t>
      </w:r>
    </w:p>
    <w:p>
      <w:pPr>
        <w:pStyle w:val="Corpsdetexte"/>
        <w:jc w:val="both"/>
        <w:rPr>
          <w:rFonts w:ascii="Times New Roman" w:hAnsi="Times New Roman"/>
          <w:sz w:val="20"/>
          <w:szCs w:val="20"/>
        </w:rPr>
      </w:pPr>
      <w:r>
        <w:rPr>
          <w:sz w:val="20"/>
          <w:szCs w:val="20"/>
        </w:rPr>
        <w:t xml:space="preserve">L’entreprise Gaëlle BOUYSSOU garanti les biens meubles vendus. </w:t>
      </w:r>
    </w:p>
    <w:p>
      <w:pPr>
        <w:pStyle w:val="Corpsdetexte"/>
        <w:jc w:val="both"/>
        <w:rPr>
          <w:rStyle w:val="Policepardfaut"/>
          <w:rFonts w:ascii="Times New Roman" w:hAnsi="Times New Roman"/>
          <w:sz w:val="20"/>
          <w:szCs w:val="20"/>
          <w:lang w:eastAsia="fr-FR" w:bidi="ar-SA"/>
        </w:rPr>
      </w:pPr>
      <w:r>
        <w:rPr/>
      </w:r>
      <w:r>
        <mc:AlternateContent>
          <mc:Choice Requires="wps">
            <w:drawing>
              <wp:anchor behindDoc="0" distT="0" distB="0" distL="0" distR="0" simplePos="0" locked="0" layoutInCell="1" allowOverlap="1" relativeHeight="2">
                <wp:simplePos x="0" y="0"/>
                <wp:positionH relativeFrom="column">
                  <wp:posOffset>-11430</wp:posOffset>
                </wp:positionH>
                <wp:positionV relativeFrom="paragraph">
                  <wp:posOffset>635</wp:posOffset>
                </wp:positionV>
                <wp:extent cx="6143625" cy="1912620"/>
                <wp:effectExtent l="0" t="0" r="0" b="0"/>
                <wp:wrapSquare wrapText="bothSides"/>
                <wp:docPr id="1" name="Cadre1"/>
                <a:graphic xmlns:a="http://schemas.openxmlformats.org/drawingml/2006/main">
                  <a:graphicData uri="http://schemas.microsoft.com/office/word/2010/wordprocessingShape">
                    <wps:wsp>
                      <wps:cNvSpPr txBox="1"/>
                      <wps:spPr>
                        <a:xfrm>
                          <a:off x="0" y="0"/>
                          <a:ext cx="6143625" cy="1912620"/>
                        </a:xfrm>
                        <a:prstGeom prst="rect"/>
                        <a:ln w="635">
                          <a:solidFill>
                            <a:srgbClr val="000000"/>
                          </a:solidFill>
                        </a:ln>
                      </wps:spPr>
                      <wps:txbx>
                        <w:txbxContent>
                          <w:p>
                            <w:pPr>
                              <w:pStyle w:val="Normal"/>
                              <w:widowControl/>
                              <w:spacing w:lineRule="atLeast" w:line="270"/>
                              <w:rPr/>
                            </w:pPr>
                            <w:r>
                              <w:rPr>
                                <w:rStyle w:val="Accentuation"/>
                                <w:color w:val="000000"/>
                                <w:sz w:val="20"/>
                                <w:szCs w:val="20"/>
                              </w:rPr>
                              <w:t>Le consommateur</w:t>
                            </w:r>
                            <w:r>
                              <w:rPr>
                                <w:rStyle w:val="Policepardfaut"/>
                                <w:color w:val="000000"/>
                                <w:sz w:val="20"/>
                                <w:szCs w:val="20"/>
                              </w:rPr>
                              <w:t> :</w:t>
                            </w:r>
                          </w:p>
                          <w:p>
                            <w:pPr>
                              <w:pStyle w:val="Corpsdetexte"/>
                              <w:widowControl/>
                              <w:numPr>
                                <w:ilvl w:val="0"/>
                                <w:numId w:val="3"/>
                              </w:numPr>
                              <w:tabs>
                                <w:tab w:val="clear" w:pos="709"/>
                              </w:tabs>
                              <w:spacing w:lineRule="atLeast" w:line="300" w:before="0" w:after="150"/>
                              <w:ind w:left="0" w:right="0" w:hanging="0"/>
                              <w:jc w:val="both"/>
                              <w:rPr/>
                            </w:pPr>
                            <w:r>
                              <w:rPr>
                                <w:rStyle w:val="Accentuation"/>
                                <w:color w:val="000000"/>
                                <w:sz w:val="20"/>
                                <w:szCs w:val="20"/>
                              </w:rPr>
                              <w:t>bénéficie d’un délai de deux ans à compter de la délivrance du bien pour agir,</w:t>
                            </w:r>
                          </w:p>
                          <w:p>
                            <w:pPr>
                              <w:pStyle w:val="Corpsdetexte"/>
                              <w:widowControl/>
                              <w:numPr>
                                <w:ilvl w:val="0"/>
                                <w:numId w:val="0"/>
                              </w:numPr>
                              <w:spacing w:lineRule="atLeast" w:line="300" w:before="0" w:after="150"/>
                              <w:ind w:left="375" w:hanging="0"/>
                              <w:jc w:val="both"/>
                              <w:rPr/>
                            </w:pPr>
                            <w:r>
                              <w:rPr>
                                <w:rStyle w:val="Accentuation"/>
                                <w:rFonts w:eastAsia="Webdings" w:cs="Webdings"/>
                                <w:color w:val="000000"/>
                                <w:sz w:val="20"/>
                                <w:szCs w:val="20"/>
                              </w:rPr>
                              <w:t xml:space="preserve"> </w:t>
                            </w:r>
                            <w:r>
                              <w:rPr>
                                <w:rStyle w:val="Accentuation"/>
                                <w:color w:val="000000"/>
                                <w:sz w:val="20"/>
                                <w:szCs w:val="20"/>
                              </w:rPr>
                              <w:t>peut choisir entre la réparation ou le remplacement du bien, sous réserve des conditions de coût prévues par l’article L.217-9 du Code de la consommation,</w:t>
                            </w:r>
                          </w:p>
                          <w:p>
                            <w:pPr>
                              <w:pStyle w:val="Corpsdetexte"/>
                              <w:widowControl/>
                              <w:numPr>
                                <w:ilvl w:val="0"/>
                                <w:numId w:val="0"/>
                              </w:numPr>
                              <w:spacing w:lineRule="atLeast" w:line="300" w:before="0" w:after="150"/>
                              <w:ind w:left="375" w:hanging="0"/>
                              <w:jc w:val="both"/>
                              <w:rPr/>
                            </w:pPr>
                            <w:r>
                              <w:rPr>
                                <w:rStyle w:val="Accentuation"/>
                                <w:rFonts w:eastAsia="Webdings" w:cs="Webdings"/>
                                <w:color w:val="000000"/>
                                <w:sz w:val="20"/>
                                <w:szCs w:val="20"/>
                              </w:rPr>
                              <w:t xml:space="preserve"> </w:t>
                            </w:r>
                            <w:r>
                              <w:rPr>
                                <w:rStyle w:val="Accentuation"/>
                                <w:color w:val="000000"/>
                                <w:sz w:val="20"/>
                                <w:szCs w:val="20"/>
                              </w:rPr>
                              <w:t xml:space="preserve">est dispensé de rapporter la preuve de l’existence du défaut de conformité du bien pendant les 24 mois suivants la délivrance du bien. </w:t>
                            </w:r>
                          </w:p>
                          <w:p>
                            <w:pPr>
                              <w:pStyle w:val="Corpsdetexte"/>
                              <w:widowControl/>
                              <w:numPr>
                                <w:ilvl w:val="0"/>
                                <w:numId w:val="3"/>
                              </w:numPr>
                              <w:spacing w:lineRule="atLeast" w:line="300" w:before="0" w:after="150"/>
                              <w:jc w:val="both"/>
                              <w:rPr>
                                <w:rFonts w:ascii="Times New Roman" w:hAnsi="Times New Roman"/>
                                <w:color w:val="000000"/>
                                <w:sz w:val="20"/>
                                <w:szCs w:val="20"/>
                              </w:rPr>
                            </w:pPr>
                            <w:r>
                              <w:rPr>
                                <w:color w:val="000000"/>
                                <w:sz w:val="20"/>
                                <w:szCs w:val="20"/>
                              </w:rPr>
                              <w:t>La garantie légale de conformité s’applique indépendamment de la garantie commerciale éventuellement consentie.</w:t>
                            </w:r>
                          </w:p>
                        </w:txbxContent>
                      </wps:txbx>
                      <wps:bodyPr anchor="t" lIns="0" tIns="0" rIns="0" bIns="0">
                        <a:noAutofit/>
                      </wps:bodyPr>
                    </wps:wsp>
                  </a:graphicData>
                </a:graphic>
              </wp:anchor>
            </w:drawing>
          </mc:Choice>
          <mc:Fallback>
            <w:pict>
              <v:rect strokecolor="#000000" strokeweight="0pt" style="position:absolute;rotation:0;width:483.75pt;height:150.6pt;mso-wrap-distance-left:0pt;mso-wrap-distance-right:0pt;mso-wrap-distance-top:0pt;mso-wrap-distance-bottom:0pt;margin-top:0.05pt;mso-position-vertical-relative:text;margin-left:-0.9pt;mso-position-horizontal-relative:text">
                <v:textbox inset="0in,0in,0in,0in">
                  <w:txbxContent>
                    <w:p>
                      <w:pPr>
                        <w:pStyle w:val="Normal"/>
                        <w:widowControl/>
                        <w:spacing w:lineRule="atLeast" w:line="270"/>
                        <w:rPr/>
                      </w:pPr>
                      <w:r>
                        <w:rPr>
                          <w:rStyle w:val="Accentuation"/>
                          <w:color w:val="000000"/>
                          <w:sz w:val="20"/>
                          <w:szCs w:val="20"/>
                        </w:rPr>
                        <w:t>Le consommateur</w:t>
                      </w:r>
                      <w:r>
                        <w:rPr>
                          <w:rStyle w:val="Policepardfaut"/>
                          <w:color w:val="000000"/>
                          <w:sz w:val="20"/>
                          <w:szCs w:val="20"/>
                        </w:rPr>
                        <w:t> :</w:t>
                      </w:r>
                    </w:p>
                    <w:p>
                      <w:pPr>
                        <w:pStyle w:val="Corpsdetexte"/>
                        <w:widowControl/>
                        <w:numPr>
                          <w:ilvl w:val="0"/>
                          <w:numId w:val="3"/>
                        </w:numPr>
                        <w:tabs>
                          <w:tab w:val="clear" w:pos="709"/>
                        </w:tabs>
                        <w:spacing w:lineRule="atLeast" w:line="300" w:before="0" w:after="150"/>
                        <w:ind w:left="0" w:right="0" w:hanging="0"/>
                        <w:jc w:val="both"/>
                        <w:rPr/>
                      </w:pPr>
                      <w:r>
                        <w:rPr>
                          <w:rStyle w:val="Accentuation"/>
                          <w:color w:val="000000"/>
                          <w:sz w:val="20"/>
                          <w:szCs w:val="20"/>
                        </w:rPr>
                        <w:t>bénéficie d’un délai de deux ans à compter de la délivrance du bien pour agir,</w:t>
                      </w:r>
                    </w:p>
                    <w:p>
                      <w:pPr>
                        <w:pStyle w:val="Corpsdetexte"/>
                        <w:widowControl/>
                        <w:numPr>
                          <w:ilvl w:val="0"/>
                          <w:numId w:val="0"/>
                        </w:numPr>
                        <w:spacing w:lineRule="atLeast" w:line="300" w:before="0" w:after="150"/>
                        <w:ind w:left="375" w:hanging="0"/>
                        <w:jc w:val="both"/>
                        <w:rPr/>
                      </w:pPr>
                      <w:r>
                        <w:rPr>
                          <w:rStyle w:val="Accentuation"/>
                          <w:rFonts w:eastAsia="Webdings" w:cs="Webdings"/>
                          <w:color w:val="000000"/>
                          <w:sz w:val="20"/>
                          <w:szCs w:val="20"/>
                        </w:rPr>
                        <w:t xml:space="preserve"> </w:t>
                      </w:r>
                      <w:r>
                        <w:rPr>
                          <w:rStyle w:val="Accentuation"/>
                          <w:color w:val="000000"/>
                          <w:sz w:val="20"/>
                          <w:szCs w:val="20"/>
                        </w:rPr>
                        <w:t>peut choisir entre la réparation ou le remplacement du bien, sous réserve des conditions de coût prévues par l’article L.217-9 du Code de la consommation,</w:t>
                      </w:r>
                    </w:p>
                    <w:p>
                      <w:pPr>
                        <w:pStyle w:val="Corpsdetexte"/>
                        <w:widowControl/>
                        <w:numPr>
                          <w:ilvl w:val="0"/>
                          <w:numId w:val="0"/>
                        </w:numPr>
                        <w:spacing w:lineRule="atLeast" w:line="300" w:before="0" w:after="150"/>
                        <w:ind w:left="375" w:hanging="0"/>
                        <w:jc w:val="both"/>
                        <w:rPr/>
                      </w:pPr>
                      <w:r>
                        <w:rPr>
                          <w:rStyle w:val="Accentuation"/>
                          <w:rFonts w:eastAsia="Webdings" w:cs="Webdings"/>
                          <w:color w:val="000000"/>
                          <w:sz w:val="20"/>
                          <w:szCs w:val="20"/>
                        </w:rPr>
                        <w:t xml:space="preserve"> </w:t>
                      </w:r>
                      <w:r>
                        <w:rPr>
                          <w:rStyle w:val="Accentuation"/>
                          <w:color w:val="000000"/>
                          <w:sz w:val="20"/>
                          <w:szCs w:val="20"/>
                        </w:rPr>
                        <w:t xml:space="preserve">est dispensé de rapporter la preuve de l’existence du défaut de conformité du bien pendant les 24 mois suivants la délivrance du bien. </w:t>
                      </w:r>
                    </w:p>
                    <w:p>
                      <w:pPr>
                        <w:pStyle w:val="Corpsdetexte"/>
                        <w:widowControl/>
                        <w:numPr>
                          <w:ilvl w:val="0"/>
                          <w:numId w:val="3"/>
                        </w:numPr>
                        <w:spacing w:lineRule="atLeast" w:line="300" w:before="0" w:after="150"/>
                        <w:jc w:val="both"/>
                        <w:rPr>
                          <w:rFonts w:ascii="Times New Roman" w:hAnsi="Times New Roman"/>
                          <w:color w:val="000000"/>
                          <w:sz w:val="20"/>
                          <w:szCs w:val="20"/>
                        </w:rPr>
                      </w:pPr>
                      <w:r>
                        <w:rPr>
                          <w:color w:val="000000"/>
                          <w:sz w:val="20"/>
                          <w:szCs w:val="20"/>
                        </w:rPr>
                        <w:t>La garantie légale de conformité s’applique indépendamment de la garantie commerciale éventuellement consentie.</w:t>
                      </w:r>
                    </w:p>
                  </w:txbxContent>
                </v:textbox>
                <w10:wrap type="square"/>
              </v:rect>
            </w:pict>
          </mc:Fallback>
        </mc:AlternateContent>
      </w:r>
    </w:p>
    <w:p>
      <w:pPr>
        <w:pStyle w:val="Corpsdetexte"/>
        <w:jc w:val="both"/>
        <w:rPr>
          <w:rFonts w:ascii="Times New Roman" w:hAnsi="Times New Roman"/>
          <w:sz w:val="20"/>
          <w:szCs w:val="20"/>
        </w:rPr>
      </w:pPr>
      <w:r>
        <w:rPr>
          <w:sz w:val="20"/>
          <w:szCs w:val="20"/>
        </w:rPr>
        <w:t>Clause n° 1</w:t>
      </w:r>
      <w:r>
        <w:rPr>
          <w:sz w:val="20"/>
          <w:szCs w:val="20"/>
        </w:rPr>
        <w:t>0</w:t>
      </w:r>
      <w:r>
        <w:rPr>
          <w:sz w:val="20"/>
          <w:szCs w:val="20"/>
        </w:rPr>
        <w:t xml:space="preserve"> : Livraison</w:t>
      </w:r>
    </w:p>
    <w:p>
      <w:pPr>
        <w:pStyle w:val="Corpsdetexte"/>
        <w:jc w:val="both"/>
        <w:rPr>
          <w:rFonts w:ascii="Times New Roman" w:hAnsi="Times New Roman"/>
          <w:sz w:val="20"/>
          <w:szCs w:val="20"/>
        </w:rPr>
      </w:pPr>
      <w:r>
        <w:rPr>
          <w:sz w:val="20"/>
          <w:szCs w:val="20"/>
        </w:rPr>
        <w:t>La livraison est effectuée : </w:t>
      </w:r>
    </w:p>
    <w:p>
      <w:pPr>
        <w:pStyle w:val="Corpsdetexte"/>
        <w:numPr>
          <w:ilvl w:val="0"/>
          <w:numId w:val="4"/>
        </w:numPr>
        <w:jc w:val="both"/>
        <w:rPr>
          <w:rFonts w:ascii="Times New Roman" w:hAnsi="Times New Roman"/>
          <w:sz w:val="20"/>
          <w:szCs w:val="20"/>
        </w:rPr>
      </w:pPr>
      <w:r>
        <w:rPr>
          <w:sz w:val="20"/>
          <w:szCs w:val="20"/>
        </w:rPr>
        <w:t>soit par la remise directe de la marchandise à l'acheteur ;</w:t>
      </w:r>
    </w:p>
    <w:p>
      <w:pPr>
        <w:pStyle w:val="Corpsdetexte"/>
        <w:numPr>
          <w:ilvl w:val="0"/>
          <w:numId w:val="4"/>
        </w:numPr>
        <w:jc w:val="both"/>
        <w:rPr>
          <w:rFonts w:ascii="Times New Roman" w:hAnsi="Times New Roman"/>
          <w:sz w:val="20"/>
          <w:szCs w:val="20"/>
        </w:rPr>
      </w:pPr>
      <w:r>
        <w:rPr>
          <w:sz w:val="20"/>
          <w:szCs w:val="20"/>
        </w:rPr>
        <w:t>suite à l'envoi d'un avis de mise à disposition à l’adresse d’un point de vente qui sera indiquée par le vendeur ;</w:t>
      </w:r>
    </w:p>
    <w:p>
      <w:pPr>
        <w:pStyle w:val="Corpsdetexte"/>
        <w:numPr>
          <w:ilvl w:val="0"/>
          <w:numId w:val="4"/>
        </w:numPr>
        <w:jc w:val="both"/>
        <w:rPr>
          <w:rFonts w:ascii="Times New Roman" w:hAnsi="Times New Roman"/>
          <w:sz w:val="20"/>
          <w:szCs w:val="20"/>
        </w:rPr>
      </w:pPr>
      <w:r>
        <w:rPr>
          <w:sz w:val="20"/>
          <w:szCs w:val="20"/>
        </w:rPr>
        <w:t>soit au lieu indiqué par l'acheteur sur le bon de commande.</w:t>
      </w:r>
    </w:p>
    <w:p>
      <w:pPr>
        <w:pStyle w:val="Corpsdetexte"/>
        <w:jc w:val="both"/>
        <w:rPr>
          <w:rFonts w:ascii="Times New Roman" w:hAnsi="Times New Roman"/>
          <w:sz w:val="20"/>
          <w:szCs w:val="20"/>
        </w:rPr>
      </w:pPr>
      <w:r>
        <w:rPr>
          <w:sz w:val="20"/>
          <w:szCs w:val="20"/>
        </w:rPr>
        <w:t>Le délai de livraison indiqué lors de l'enregistrement de la commande n'est donné qu'à titre indicatif et n'est aucunement garanti.</w:t>
      </w:r>
    </w:p>
    <w:p>
      <w:pPr>
        <w:pStyle w:val="Corpsdetexte"/>
        <w:jc w:val="both"/>
        <w:rPr>
          <w:rFonts w:ascii="Times New Roman" w:hAnsi="Times New Roman"/>
          <w:sz w:val="20"/>
          <w:szCs w:val="20"/>
        </w:rPr>
      </w:pPr>
      <w:r>
        <w:rPr>
          <w:sz w:val="20"/>
          <w:szCs w:val="20"/>
        </w:rPr>
        <w:t>En cas de commande via internet et selon la disponibilité du produit : la livraison s'effectuera sous 48h avec un délai maximum de 8 jours ouvrés.</w:t>
      </w:r>
    </w:p>
    <w:p>
      <w:pPr>
        <w:pStyle w:val="Corpsdetexte"/>
        <w:jc w:val="both"/>
        <w:rPr>
          <w:rFonts w:ascii="Times New Roman" w:hAnsi="Times New Roman"/>
          <w:sz w:val="20"/>
          <w:szCs w:val="20"/>
        </w:rPr>
      </w:pPr>
      <w:r>
        <w:rPr>
          <w:sz w:val="20"/>
          <w:szCs w:val="20"/>
        </w:rPr>
        <w:t>En cas de commande personnalisée, l’acheteur sera tenu informé du délai de fabrication et de livraison via un devis.</w:t>
      </w:r>
    </w:p>
    <w:p>
      <w:pPr>
        <w:pStyle w:val="Corpsdetexte"/>
        <w:jc w:val="both"/>
        <w:rPr>
          <w:rFonts w:ascii="Times New Roman" w:hAnsi="Times New Roman"/>
          <w:sz w:val="20"/>
          <w:szCs w:val="20"/>
        </w:rPr>
      </w:pPr>
      <w:r>
        <w:rPr>
          <w:sz w:val="20"/>
          <w:szCs w:val="20"/>
        </w:rPr>
        <w:t>Les articles seront livrés à l’adresse de livraison indiquée par l’acheteur lors de la commande. Il est de la responsabilité de l'acheteur de vérifier que l'adresse mentionnée est correcte et valable.</w:t>
      </w:r>
    </w:p>
    <w:p>
      <w:pPr>
        <w:pStyle w:val="Corpsdetexte"/>
        <w:jc w:val="both"/>
        <w:rPr>
          <w:rFonts w:ascii="Times New Roman" w:hAnsi="Times New Roman"/>
          <w:sz w:val="20"/>
          <w:szCs w:val="20"/>
        </w:rPr>
      </w:pPr>
      <w:r>
        <w:rPr>
          <w:sz w:val="20"/>
          <w:szCs w:val="20"/>
        </w:rPr>
        <w:t>A réception du règlement, l’entreprise envoie le colis à l’acheteur suivant les délais qui lui ont été annoncés lors de la commande.</w:t>
      </w:r>
    </w:p>
    <w:p>
      <w:pPr>
        <w:pStyle w:val="Corpsdetexte"/>
        <w:jc w:val="both"/>
        <w:rPr>
          <w:rFonts w:ascii="Times New Roman" w:hAnsi="Times New Roman"/>
          <w:sz w:val="20"/>
          <w:szCs w:val="20"/>
        </w:rPr>
      </w:pPr>
      <w:r>
        <w:rPr>
          <w:sz w:val="20"/>
          <w:szCs w:val="20"/>
        </w:rPr>
        <w:t>Les frais d’emballage et de transport sont à la charge de l’acheteur.</w:t>
      </w:r>
    </w:p>
    <w:p>
      <w:pPr>
        <w:pStyle w:val="Corpsdetexte"/>
        <w:jc w:val="both"/>
        <w:rPr>
          <w:rFonts w:ascii="Times New Roman" w:hAnsi="Times New Roman"/>
          <w:sz w:val="20"/>
          <w:szCs w:val="20"/>
        </w:rPr>
      </w:pPr>
      <w:r>
        <w:rPr>
          <w:sz w:val="20"/>
          <w:szCs w:val="20"/>
        </w:rPr>
        <w:t>Les envois se font par La Poste en courrier suivi. Il est conseillé de vérifier le contenu du colis devant le transporteur.</w:t>
      </w:r>
    </w:p>
    <w:p>
      <w:pPr>
        <w:pStyle w:val="Corpsdetexte"/>
        <w:jc w:val="both"/>
        <w:rPr>
          <w:rFonts w:ascii="Times New Roman" w:hAnsi="Times New Roman"/>
          <w:sz w:val="20"/>
          <w:szCs w:val="20"/>
        </w:rPr>
      </w:pPr>
      <w:r>
        <w:rPr>
          <w:sz w:val="20"/>
          <w:szCs w:val="20"/>
        </w:rPr>
        <w:t>En cas de marchandises manquantes ou détériorées lors du transport, l'acheteur devra formuler toutes les réserves nécessaires sur le bon de livraison à réception desdites marchandises. Ces réserves devront être, en outre, confirmées par écrit dans les 5 jours suivant la livraison, par courrier recommandé AR.</w:t>
      </w:r>
    </w:p>
    <w:p>
      <w:pPr>
        <w:pStyle w:val="Corpsdetexte"/>
        <w:jc w:val="both"/>
        <w:rPr>
          <w:rFonts w:ascii="Times New Roman" w:hAnsi="Times New Roman"/>
          <w:sz w:val="20"/>
          <w:szCs w:val="20"/>
        </w:rPr>
      </w:pPr>
      <w:r>
        <w:rPr>
          <w:sz w:val="20"/>
          <w:szCs w:val="20"/>
        </w:rPr>
      </w:r>
    </w:p>
    <w:p>
      <w:pPr>
        <w:pStyle w:val="Corpsdetexte"/>
        <w:jc w:val="both"/>
        <w:rPr>
          <w:rFonts w:ascii="Times New Roman" w:hAnsi="Times New Roman"/>
          <w:sz w:val="20"/>
          <w:szCs w:val="20"/>
        </w:rPr>
      </w:pPr>
      <w:r>
        <w:rPr>
          <w:sz w:val="20"/>
          <w:szCs w:val="20"/>
        </w:rPr>
        <w:t>Si le client souhaite un autre transporteur que celui utilisé habituellement par l’entreprise, le vendeur décline toute responsabilité liée à d’éventuels retards, vols, pertes ou détériorations du colis.</w:t>
      </w:r>
    </w:p>
    <w:p>
      <w:pPr>
        <w:pStyle w:val="Corpsdetexte"/>
        <w:jc w:val="both"/>
        <w:rPr>
          <w:rFonts w:ascii="Times New Roman" w:hAnsi="Times New Roman"/>
          <w:sz w:val="20"/>
          <w:szCs w:val="20"/>
        </w:rPr>
      </w:pPr>
      <w:r>
        <w:rPr>
          <w:sz w:val="20"/>
          <w:szCs w:val="20"/>
        </w:rPr>
      </w:r>
    </w:p>
    <w:p>
      <w:pPr>
        <w:pStyle w:val="Corpsdetexte"/>
        <w:jc w:val="both"/>
        <w:rPr>
          <w:rFonts w:ascii="Times New Roman" w:hAnsi="Times New Roman"/>
          <w:sz w:val="20"/>
          <w:szCs w:val="20"/>
        </w:rPr>
      </w:pPr>
      <w:r>
        <w:rPr>
          <w:sz w:val="20"/>
          <w:szCs w:val="20"/>
        </w:rPr>
        <w:t>Clause n° 1</w:t>
      </w:r>
      <w:r>
        <w:rPr>
          <w:sz w:val="20"/>
          <w:szCs w:val="20"/>
        </w:rPr>
        <w:t>1</w:t>
      </w:r>
      <w:r>
        <w:rPr>
          <w:sz w:val="20"/>
          <w:szCs w:val="20"/>
        </w:rPr>
        <w:t xml:space="preserve"> : Droit de rétractation et modalités de retour</w:t>
      </w:r>
    </w:p>
    <w:p>
      <w:pPr>
        <w:pStyle w:val="Corpsdetexte"/>
        <w:jc w:val="both"/>
        <w:rPr>
          <w:rFonts w:ascii="Times New Roman" w:hAnsi="Times New Roman"/>
          <w:sz w:val="20"/>
          <w:szCs w:val="20"/>
        </w:rPr>
      </w:pPr>
      <w:r>
        <w:rPr>
          <w:sz w:val="20"/>
          <w:szCs w:val="20"/>
        </w:rPr>
      </w:r>
    </w:p>
    <w:p>
      <w:pPr>
        <w:pStyle w:val="Corpsdetexte"/>
        <w:jc w:val="both"/>
        <w:rPr>
          <w:rFonts w:ascii="Times New Roman" w:hAnsi="Times New Roman"/>
          <w:sz w:val="20"/>
          <w:szCs w:val="20"/>
        </w:rPr>
      </w:pPr>
      <w:r>
        <w:rPr>
          <w:sz w:val="20"/>
          <w:szCs w:val="20"/>
        </w:rPr>
        <w:t>En cas de vente en ligne, le client dispose d’un droit de rétractation qu’il peut exercer, sans avoir à justifier de motifs, dans un délai de quatorze (14) jours francs à compter de la réception des produits commandés.</w:t>
      </w:r>
    </w:p>
    <w:p>
      <w:pPr>
        <w:pStyle w:val="Corpsdetexte"/>
        <w:jc w:val="both"/>
        <w:rPr>
          <w:rFonts w:ascii="Times New Roman" w:hAnsi="Times New Roman"/>
          <w:sz w:val="20"/>
          <w:szCs w:val="20"/>
        </w:rPr>
      </w:pPr>
      <w:r>
        <w:rPr>
          <w:sz w:val="20"/>
          <w:szCs w:val="20"/>
        </w:rPr>
        <w:t xml:space="preserve"> </w:t>
      </w:r>
      <w:r>
        <w:rPr>
          <w:sz w:val="20"/>
          <w:szCs w:val="20"/>
        </w:rPr>
        <w:t>Les produits devront être renvoyés en parfait état accompagnés de la facture et d’un mot d’explication rappelant les coordonnées du client ainsi que son désir de recevoir un remboursement ou un avoir, à l'adresse suivante :</w:t>
      </w:r>
    </w:p>
    <w:p>
      <w:pPr>
        <w:pStyle w:val="Corpsdetexte"/>
        <w:jc w:val="both"/>
        <w:rPr>
          <w:rFonts w:ascii="Times New Roman" w:hAnsi="Times New Roman"/>
          <w:sz w:val="20"/>
          <w:szCs w:val="20"/>
        </w:rPr>
      </w:pPr>
      <w:r>
        <w:rPr>
          <w:sz w:val="20"/>
          <w:szCs w:val="20"/>
        </w:rPr>
        <w:t>Gaëlle BOUYSSOU</w:t>
      </w:r>
    </w:p>
    <w:p>
      <w:pPr>
        <w:pStyle w:val="Corpsdetexte"/>
        <w:rPr>
          <w:rFonts w:ascii="Times New Roman" w:hAnsi="Times New Roman"/>
          <w:sz w:val="20"/>
          <w:szCs w:val="20"/>
        </w:rPr>
      </w:pPr>
      <w:r>
        <w:rPr>
          <w:sz w:val="20"/>
          <w:szCs w:val="20"/>
        </w:rPr>
        <w:t>Résidence Email</w:t>
      </w:r>
    </w:p>
    <w:p>
      <w:pPr>
        <w:pStyle w:val="Corpsdetexte"/>
        <w:rPr>
          <w:rFonts w:ascii="Times New Roman" w:hAnsi="Times New Roman"/>
          <w:sz w:val="20"/>
          <w:szCs w:val="20"/>
        </w:rPr>
      </w:pPr>
      <w:r>
        <w:rPr>
          <w:sz w:val="20"/>
          <w:szCs w:val="20"/>
        </w:rPr>
        <w:t>33 rue du Chinchauvaud</w:t>
        <w:br/>
        <w:t>87100 LIMOGES</w:t>
      </w:r>
    </w:p>
    <w:p>
      <w:pPr>
        <w:pStyle w:val="Corpsdetexte"/>
        <w:jc w:val="both"/>
        <w:rPr>
          <w:rFonts w:ascii="Times New Roman" w:hAnsi="Times New Roman"/>
          <w:sz w:val="20"/>
          <w:szCs w:val="20"/>
        </w:rPr>
      </w:pPr>
      <w:r>
        <w:rPr>
          <w:sz w:val="20"/>
          <w:szCs w:val="20"/>
        </w:rPr>
        <w:t>Les frais d'expéditions liés au retour des produits restent à la charge du client sauf si le produit reçu n’est pas conforme ou présente un vice de fabrication. Ces remboursements seront effectués dans un délai de 14 jours après réception et vérification des produits.</w:t>
      </w:r>
    </w:p>
    <w:p>
      <w:pPr>
        <w:pStyle w:val="Corpsdetexte"/>
        <w:jc w:val="both"/>
        <w:rPr>
          <w:rFonts w:ascii="Times New Roman" w:hAnsi="Times New Roman"/>
          <w:sz w:val="20"/>
          <w:szCs w:val="20"/>
        </w:rPr>
      </w:pPr>
      <w:r>
        <w:rPr>
          <w:sz w:val="20"/>
          <w:szCs w:val="20"/>
        </w:rPr>
      </w:r>
    </w:p>
    <w:p>
      <w:pPr>
        <w:pStyle w:val="Corpsdetexte"/>
        <w:jc w:val="both"/>
        <w:rPr>
          <w:rFonts w:ascii="Times New Roman" w:hAnsi="Times New Roman"/>
          <w:sz w:val="20"/>
          <w:szCs w:val="20"/>
        </w:rPr>
      </w:pPr>
      <w:r>
        <w:rPr>
          <w:sz w:val="20"/>
          <w:szCs w:val="20"/>
        </w:rPr>
        <w:t>*Des éventuels frais de douanes liés au retour de produit d’un pays étranger sont aussi à la charge du client.</w:t>
      </w:r>
    </w:p>
    <w:p>
      <w:pPr>
        <w:pStyle w:val="Corpsdetexte"/>
        <w:jc w:val="both"/>
        <w:rPr>
          <w:rFonts w:ascii="Times New Roman" w:hAnsi="Times New Roman"/>
          <w:sz w:val="20"/>
          <w:szCs w:val="20"/>
        </w:rPr>
      </w:pPr>
      <w:r>
        <w:rPr>
          <w:sz w:val="20"/>
          <w:szCs w:val="20"/>
        </w:rPr>
        <w:t xml:space="preserve">En cas de commande personnalisée : L’article L121-20-2 du Code de la Consommation prévoit que « le droit de rétractation ne peut être exercé pour les commandes confectionnées selon les spécifications du consommateur ou nettement personnalisées. »  Aucun remboursement n’est </w:t>
      </w:r>
      <w:r>
        <w:rPr>
          <w:sz w:val="20"/>
          <w:szCs w:val="20"/>
        </w:rPr>
        <w:t>donc</w:t>
      </w:r>
      <w:r>
        <w:rPr>
          <w:sz w:val="20"/>
          <w:szCs w:val="20"/>
        </w:rPr>
        <w:t xml:space="preserve"> possible.</w:t>
      </w:r>
    </w:p>
    <w:p>
      <w:pPr>
        <w:pStyle w:val="Corpsdetexte"/>
        <w:jc w:val="both"/>
        <w:rPr>
          <w:rFonts w:ascii="Times New Roman" w:hAnsi="Times New Roman"/>
          <w:sz w:val="20"/>
          <w:szCs w:val="20"/>
        </w:rPr>
      </w:pPr>
      <w:r>
        <w:rPr>
          <w:sz w:val="20"/>
          <w:szCs w:val="20"/>
        </w:rPr>
      </w:r>
    </w:p>
    <w:p>
      <w:pPr>
        <w:pStyle w:val="Corpsdetexte"/>
        <w:jc w:val="both"/>
        <w:rPr>
          <w:rFonts w:ascii="Times New Roman" w:hAnsi="Times New Roman"/>
          <w:sz w:val="20"/>
          <w:szCs w:val="20"/>
        </w:rPr>
      </w:pPr>
      <w:r>
        <w:rPr>
          <w:sz w:val="20"/>
          <w:szCs w:val="20"/>
        </w:rPr>
        <w:t xml:space="preserve">Clause n° </w:t>
      </w:r>
      <w:r>
        <w:rPr>
          <w:sz w:val="20"/>
          <w:szCs w:val="20"/>
        </w:rPr>
        <w:t>12</w:t>
      </w:r>
      <w:r>
        <w:rPr>
          <w:sz w:val="20"/>
          <w:szCs w:val="20"/>
        </w:rPr>
        <w:t> : Service après vente </w:t>
      </w:r>
    </w:p>
    <w:p>
      <w:pPr>
        <w:pStyle w:val="Corpsdetexte"/>
        <w:jc w:val="both"/>
        <w:rPr>
          <w:rFonts w:ascii="Times New Roman" w:hAnsi="Times New Roman"/>
          <w:sz w:val="20"/>
          <w:szCs w:val="20"/>
        </w:rPr>
      </w:pPr>
      <w:r>
        <w:rPr>
          <w:sz w:val="20"/>
          <w:szCs w:val="20"/>
        </w:rPr>
        <w:t>L'entreprise Gaëlle BOUYSSOU répare ou nettoie votre bijou sur demande orale ou écrite.</w:t>
      </w:r>
    </w:p>
    <w:p>
      <w:pPr>
        <w:pStyle w:val="Corpsdetexte"/>
        <w:jc w:val="both"/>
        <w:rPr>
          <w:rFonts w:ascii="Times New Roman" w:hAnsi="Times New Roman"/>
          <w:sz w:val="20"/>
          <w:szCs w:val="20"/>
        </w:rPr>
      </w:pPr>
      <w:r>
        <w:rPr>
          <w:sz w:val="20"/>
          <w:szCs w:val="20"/>
        </w:rPr>
        <w:t>En fonction de la réparation (changement d'un apprêt par exemple) ou du nettoyage cette prestation pourra être offerte.</w:t>
      </w:r>
    </w:p>
    <w:p>
      <w:pPr>
        <w:pStyle w:val="Corpsdetexte"/>
        <w:jc w:val="both"/>
        <w:rPr>
          <w:rFonts w:ascii="Times New Roman" w:hAnsi="Times New Roman"/>
          <w:sz w:val="20"/>
          <w:szCs w:val="20"/>
        </w:rPr>
      </w:pPr>
      <w:r>
        <w:rPr>
          <w:sz w:val="20"/>
          <w:szCs w:val="20"/>
        </w:rPr>
        <w:t>Pour des travaux plus laborieux, le prix de la prestation commence à 5 euros (sur devis).</w:t>
      </w:r>
    </w:p>
    <w:p>
      <w:pPr>
        <w:pStyle w:val="Corpsdetexte"/>
        <w:jc w:val="both"/>
        <w:rPr>
          <w:rFonts w:ascii="Times New Roman" w:hAnsi="Times New Roman"/>
          <w:sz w:val="20"/>
          <w:szCs w:val="20"/>
        </w:rPr>
      </w:pPr>
      <w:r>
        <w:rPr>
          <w:sz w:val="20"/>
          <w:szCs w:val="20"/>
        </w:rPr>
      </w:r>
    </w:p>
    <w:p>
      <w:pPr>
        <w:pStyle w:val="Corpsdetexte"/>
        <w:jc w:val="both"/>
        <w:rPr>
          <w:rFonts w:ascii="Times New Roman" w:hAnsi="Times New Roman"/>
          <w:sz w:val="20"/>
          <w:szCs w:val="20"/>
        </w:rPr>
      </w:pPr>
      <w:r>
        <w:rPr>
          <w:sz w:val="20"/>
          <w:szCs w:val="20"/>
        </w:rPr>
        <w:t>Clause n° 1</w:t>
      </w:r>
      <w:r>
        <w:rPr>
          <w:sz w:val="20"/>
          <w:szCs w:val="20"/>
        </w:rPr>
        <w:t>3</w:t>
      </w:r>
      <w:r>
        <w:rPr>
          <w:sz w:val="20"/>
          <w:szCs w:val="20"/>
        </w:rPr>
        <w:t xml:space="preserve"> : Force majeure</w:t>
      </w:r>
    </w:p>
    <w:p>
      <w:pPr>
        <w:pStyle w:val="Corpsdetexte"/>
        <w:jc w:val="both"/>
        <w:rPr>
          <w:rFonts w:ascii="Times New Roman" w:hAnsi="Times New Roman"/>
          <w:sz w:val="20"/>
          <w:szCs w:val="20"/>
        </w:rPr>
      </w:pPr>
      <w:r>
        <w:rPr>
          <w:sz w:val="20"/>
          <w:szCs w:val="20"/>
        </w:rPr>
        <w:t>La responsabilité de l'entreprise Gaëlle BOUYSSOU ne pourra pas être mise en œuvre si la non-exécution ou le retard dans l'exécution de l'une de ses obligations décrites dans les présentes conditions générales de vente découle d'un cas de force majeure. À ce titre, la force majeure s'entend de tout événement extérieur, imprévisible et irrésistible au sens de l'article 1148 du Code civil.</w:t>
      </w:r>
    </w:p>
    <w:p>
      <w:pPr>
        <w:pStyle w:val="Corpsdetexte"/>
        <w:jc w:val="both"/>
        <w:rPr/>
      </w:pPr>
      <w:r>
        <w:rPr>
          <w:rStyle w:val="Policepardfaut"/>
          <w:color w:val="auto"/>
          <w:sz w:val="20"/>
          <w:szCs w:val="20"/>
        </w:rPr>
        <w:br/>
      </w:r>
      <w:r>
        <w:rPr>
          <w:rStyle w:val="Policepardfaut"/>
          <w:b w:val="false"/>
          <w:i w:val="false"/>
          <w:caps w:val="false"/>
          <w:smallCaps w:val="false"/>
          <w:color w:val="auto"/>
          <w:spacing w:val="0"/>
          <w:sz w:val="20"/>
          <w:szCs w:val="20"/>
        </w:rPr>
        <w:t>Clause n°14 : Médiation de la consommation</w:t>
      </w:r>
    </w:p>
    <w:p>
      <w:pPr>
        <w:pStyle w:val="Titre4"/>
        <w:widowControl/>
        <w:spacing w:lineRule="auto" w:line="336" w:before="150" w:after="150"/>
        <w:ind w:left="0" w:right="0" w:hanging="0"/>
        <w:jc w:val="left"/>
        <w:rPr>
          <w:rFonts w:ascii="Times New Roman" w:hAnsi="Times New Roman"/>
          <w:b w:val="false"/>
          <w:i w:val="false"/>
          <w:caps w:val="false"/>
          <w:smallCaps w:val="false"/>
          <w:color w:val="auto"/>
          <w:spacing w:val="0"/>
          <w:sz w:val="20"/>
          <w:szCs w:val="20"/>
        </w:rPr>
      </w:pPr>
      <w:r>
        <w:rPr>
          <w:rFonts w:ascii="Times New Roman" w:hAnsi="Times New Roman"/>
          <w:b w:val="false"/>
          <w:i w:val="false"/>
          <w:caps w:val="false"/>
          <w:smallCaps w:val="false"/>
          <w:color w:val="auto"/>
          <w:spacing w:val="0"/>
          <w:sz w:val="20"/>
          <w:szCs w:val="20"/>
        </w:rPr>
        <w:t>Article L612- du Code de la consommation</w:t>
      </w:r>
    </w:p>
    <w:p>
      <w:pPr>
        <w:pStyle w:val="Titre4"/>
        <w:widowControl/>
        <w:spacing w:lineRule="auto" w:line="336" w:before="150" w:after="150"/>
        <w:ind w:left="0" w:right="0" w:hanging="0"/>
        <w:jc w:val="left"/>
        <w:rPr>
          <w:rFonts w:ascii="Times New Roman" w:hAnsi="Times New Roman"/>
          <w:b w:val="false"/>
          <w:i w:val="false"/>
          <w:caps w:val="false"/>
          <w:smallCaps w:val="false"/>
          <w:color w:val="auto"/>
          <w:spacing w:val="0"/>
          <w:sz w:val="20"/>
          <w:szCs w:val="20"/>
        </w:rPr>
      </w:pPr>
      <w:r>
        <w:rPr>
          <w:rFonts w:ascii="Times New Roman" w:hAnsi="Times New Roman"/>
          <w:b w:val="false"/>
          <w:i w:val="false"/>
          <w:caps w:val="false"/>
          <w:smallCaps w:val="false"/>
          <w:color w:val="auto"/>
          <w:spacing w:val="0"/>
          <w:sz w:val="20"/>
          <w:szCs w:val="20"/>
        </w:rPr>
        <w:t>Tout consommateur a le droit de recourir gratuitement à un médiateur de la consommation en vue de la résolution amiable du litige qui l’oppose à un professionnel. A cet effet, l’entreprise Gaëlle Bouyssou garantit au consommateur le recours effectif à un dispositif de médiation de la consommation.</w:t>
      </w:r>
    </w:p>
    <w:p>
      <w:pPr>
        <w:pStyle w:val="Corpsdetexte"/>
        <w:widowControl/>
        <w:spacing w:before="0" w:after="300"/>
        <w:ind w:left="0" w:right="0" w:hanging="0"/>
        <w:jc w:val="left"/>
        <w:rPr/>
      </w:pPr>
      <w:r>
        <w:rPr>
          <w:b w:val="false"/>
          <w:i w:val="false"/>
          <w:caps w:val="false"/>
          <w:smallCaps w:val="false"/>
          <w:color w:val="auto"/>
          <w:spacing w:val="0"/>
          <w:sz w:val="20"/>
          <w:szCs w:val="20"/>
        </w:rPr>
        <w:t>"Médiateur de la consommation :</w:t>
        <w:br/>
        <w:t>Société Médiation Professionnelle</w:t>
        <w:br/>
      </w:r>
      <w:hyperlink r:id="rId9" w:tgtFrame="_blank">
        <w:r>
          <w:rPr>
            <w:rStyle w:val="LienInternet"/>
            <w:b w:val="false"/>
            <w:i w:val="false"/>
            <w:caps w:val="false"/>
            <w:smallCaps w:val="false"/>
            <w:strike w:val="false"/>
            <w:dstrike w:val="false"/>
            <w:color w:val="auto"/>
            <w:spacing w:val="0"/>
            <w:sz w:val="20"/>
            <w:szCs w:val="20"/>
            <w:u w:val="single"/>
            <w:effect w:val="none"/>
          </w:rPr>
          <w:t>www.mediateur-consommation-smp.fr</w:t>
        </w:r>
      </w:hyperlink>
      <w:r>
        <w:rPr>
          <w:b w:val="false"/>
          <w:i w:val="false"/>
          <w:caps w:val="false"/>
          <w:smallCaps w:val="false"/>
          <w:color w:val="auto"/>
          <w:spacing w:val="0"/>
          <w:sz w:val="20"/>
          <w:szCs w:val="20"/>
        </w:rPr>
        <w:br/>
        <w:t>24 rue Albert de Mun - 33000 Bordeaux"</w:t>
      </w:r>
    </w:p>
    <w:p>
      <w:pPr>
        <w:pStyle w:val="Corpsdetexte"/>
        <w:spacing w:before="0" w:after="120"/>
        <w:jc w:val="both"/>
        <w:rPr>
          <w:rStyle w:val="Policepardfaut"/>
          <w:rFonts w:ascii="Times New Roman" w:hAnsi="Times New Roman"/>
          <w:sz w:val="20"/>
          <w:szCs w:val="20"/>
        </w:rPr>
      </w:pPr>
      <w:r>
        <w:rPr/>
      </w:r>
    </w:p>
    <w:sectPr>
      <w:type w:val="nextPage"/>
      <w:pgSz w:w="11906" w:h="16838"/>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2"/>
    <w:family w:val="auto"/>
    <w:pitch w:val="default"/>
  </w:font>
  <w:font w:name="Arial">
    <w:altName w:val="Helvetica"/>
    <w:charset w:val="00"/>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Titre1"/>
      <w:numFmt w:val="none"/>
      <w:suff w:val="nothing"/>
      <w:lvlText w:val=""/>
      <w:lvlJc w:val="left"/>
      <w:pPr>
        <w:ind w:left="0" w:hanging="0"/>
      </w:pPr>
    </w:lvl>
    <w:lvl w:ilvl="1">
      <w:start w:val="1"/>
      <w:pStyle w:val="Titre2"/>
      <w:numFmt w:val="none"/>
      <w:suff w:val="nothing"/>
      <w:lvlText w:val=""/>
      <w:lvlJc w:val="left"/>
      <w:pPr>
        <w:ind w:left="0" w:hanging="0"/>
      </w:pPr>
    </w:lvl>
    <w:lvl w:ilvl="2">
      <w:start w:val="1"/>
      <w:pStyle w:val="Titre3"/>
      <w:numFmt w:val="none"/>
      <w:suff w:val="nothing"/>
      <w:lvlText w:val=""/>
      <w:lvlJc w:val="left"/>
      <w:pPr>
        <w:ind w:left="0" w:hanging="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lvl w:ilvl="0">
      <w:start w:val="1"/>
      <w:numFmt w:val="bullet"/>
      <w:lvlText w:val=""/>
      <w:lvlJc w:val="left"/>
      <w:pPr>
        <w:ind w:left="283" w:hanging="283"/>
      </w:pPr>
      <w:rPr>
        <w:rFonts w:ascii="Symbol" w:hAnsi="Symbol" w:cs="Symbol" w:hint="default"/>
        <w:rFonts w:cs="OpenSymbol"/>
      </w:rPr>
    </w:lvl>
    <w:lvl w:ilvl="1">
      <w:start w:val="1"/>
      <w:numFmt w:val="bullet"/>
      <w:lvlText w:val=""/>
      <w:lvlJc w:val="left"/>
      <w:pPr>
        <w:ind w:left="1414" w:hanging="283"/>
      </w:pPr>
      <w:rPr>
        <w:rFonts w:ascii="Symbol" w:hAnsi="Symbol" w:cs="Symbol" w:hint="default"/>
        <w:rFonts w:cs="OpenSymbol"/>
      </w:rPr>
    </w:lvl>
    <w:lvl w:ilvl="2">
      <w:start w:val="1"/>
      <w:numFmt w:val="bullet"/>
      <w:lvlText w:val=""/>
      <w:lvlJc w:val="left"/>
      <w:pPr>
        <w:ind w:left="2121" w:hanging="283"/>
      </w:pPr>
      <w:rPr>
        <w:rFonts w:ascii="Symbol" w:hAnsi="Symbol" w:cs="Symbol" w:hint="default"/>
        <w:rFonts w:cs="OpenSymbol"/>
      </w:rPr>
    </w:lvl>
    <w:lvl w:ilvl="3">
      <w:start w:val="1"/>
      <w:numFmt w:val="bullet"/>
      <w:lvlText w:val=""/>
      <w:lvlJc w:val="left"/>
      <w:pPr>
        <w:ind w:left="2828" w:hanging="283"/>
      </w:pPr>
      <w:rPr>
        <w:rFonts w:ascii="Symbol" w:hAnsi="Symbol" w:cs="Symbol" w:hint="default"/>
        <w:rFonts w:cs="OpenSymbol"/>
      </w:rPr>
    </w:lvl>
    <w:lvl w:ilvl="4">
      <w:start w:val="1"/>
      <w:numFmt w:val="bullet"/>
      <w:lvlText w:val=""/>
      <w:lvlJc w:val="left"/>
      <w:pPr>
        <w:ind w:left="3535" w:hanging="283"/>
      </w:pPr>
      <w:rPr>
        <w:rFonts w:ascii="Symbol" w:hAnsi="Symbol" w:cs="Symbol" w:hint="default"/>
        <w:rFonts w:cs="OpenSymbol"/>
      </w:rPr>
    </w:lvl>
    <w:lvl w:ilvl="5">
      <w:start w:val="1"/>
      <w:numFmt w:val="bullet"/>
      <w:lvlText w:val=""/>
      <w:lvlJc w:val="left"/>
      <w:pPr>
        <w:ind w:left="4242" w:hanging="283"/>
      </w:pPr>
      <w:rPr>
        <w:rFonts w:ascii="Symbol" w:hAnsi="Symbol" w:cs="Symbol" w:hint="default"/>
        <w:rFonts w:cs="OpenSymbol"/>
      </w:rPr>
    </w:lvl>
    <w:lvl w:ilvl="6">
      <w:start w:val="1"/>
      <w:numFmt w:val="bullet"/>
      <w:lvlText w:val=""/>
      <w:lvlJc w:val="left"/>
      <w:pPr>
        <w:ind w:left="4949" w:hanging="283"/>
      </w:pPr>
      <w:rPr>
        <w:rFonts w:ascii="Symbol" w:hAnsi="Symbol" w:cs="Symbol" w:hint="default"/>
        <w:rFonts w:cs="OpenSymbol"/>
      </w:rPr>
    </w:lvl>
    <w:lvl w:ilvl="7">
      <w:start w:val="1"/>
      <w:numFmt w:val="bullet"/>
      <w:lvlText w:val=""/>
      <w:lvlJc w:val="left"/>
      <w:pPr>
        <w:ind w:left="5656" w:hanging="283"/>
      </w:pPr>
      <w:rPr>
        <w:rFonts w:ascii="Symbol" w:hAnsi="Symbol" w:cs="Symbol" w:hint="default"/>
        <w:rFonts w:cs="OpenSymbol"/>
      </w:rPr>
    </w:lvl>
    <w:lvl w:ilvl="8">
      <w:start w:val="1"/>
      <w:numFmt w:val="bullet"/>
      <w:lvlText w:val=""/>
      <w:lvlJc w:val="left"/>
      <w:pPr>
        <w:ind w:left="6363" w:hanging="283"/>
      </w:pPr>
      <w:rPr>
        <w:rFonts w:ascii="Symbol" w:hAnsi="Symbol" w:cs="Symbol" w:hint="default"/>
        <w:rFonts w:cs="OpenSymbol"/>
      </w:rPr>
    </w:lvl>
  </w:abstractNum>
  <w:abstractNum w:abstractNumId="3">
    <w:lvl w:ilvl="0">
      <w:start w:val="1"/>
      <w:numFmt w:val="bullet"/>
      <w:lvlText w:val=""/>
      <w:lvlJc w:val="left"/>
      <w:pPr>
        <w:ind w:left="375" w:hanging="0"/>
      </w:pPr>
      <w:rPr>
        <w:rFonts w:ascii="Symbol" w:hAnsi="Symbol" w:cs="Symbol" w:hint="default"/>
        <w:rFonts w:cs="OpenSymbol"/>
      </w:rPr>
    </w:lvl>
    <w:lvl w:ilvl="1">
      <w:start w:val="1"/>
      <w:numFmt w:val="bullet"/>
      <w:lvlText w:val=""/>
      <w:lvlJc w:val="left"/>
      <w:pPr>
        <w:ind w:left="1414" w:hanging="283"/>
      </w:pPr>
      <w:rPr>
        <w:rFonts w:ascii="Symbol" w:hAnsi="Symbol" w:cs="Symbol" w:hint="default"/>
        <w:rFonts w:cs="OpenSymbol"/>
      </w:rPr>
    </w:lvl>
    <w:lvl w:ilvl="2">
      <w:start w:val="1"/>
      <w:numFmt w:val="bullet"/>
      <w:lvlText w:val=""/>
      <w:lvlJc w:val="left"/>
      <w:pPr>
        <w:ind w:left="2121" w:hanging="283"/>
      </w:pPr>
      <w:rPr>
        <w:rFonts w:ascii="Symbol" w:hAnsi="Symbol" w:cs="Symbol" w:hint="default"/>
        <w:rFonts w:cs="OpenSymbol"/>
      </w:rPr>
    </w:lvl>
    <w:lvl w:ilvl="3">
      <w:start w:val="1"/>
      <w:numFmt w:val="bullet"/>
      <w:lvlText w:val=""/>
      <w:lvlJc w:val="left"/>
      <w:pPr>
        <w:ind w:left="2828" w:hanging="283"/>
      </w:pPr>
      <w:rPr>
        <w:rFonts w:ascii="Symbol" w:hAnsi="Symbol" w:cs="Symbol" w:hint="default"/>
        <w:rFonts w:cs="OpenSymbol"/>
      </w:rPr>
    </w:lvl>
    <w:lvl w:ilvl="4">
      <w:start w:val="1"/>
      <w:numFmt w:val="bullet"/>
      <w:lvlText w:val=""/>
      <w:lvlJc w:val="left"/>
      <w:pPr>
        <w:ind w:left="3535" w:hanging="283"/>
      </w:pPr>
      <w:rPr>
        <w:rFonts w:ascii="Symbol" w:hAnsi="Symbol" w:cs="Symbol" w:hint="default"/>
        <w:rFonts w:cs="OpenSymbol"/>
      </w:rPr>
    </w:lvl>
    <w:lvl w:ilvl="5">
      <w:start w:val="1"/>
      <w:numFmt w:val="bullet"/>
      <w:lvlText w:val=""/>
      <w:lvlJc w:val="left"/>
      <w:pPr>
        <w:ind w:left="4242" w:hanging="283"/>
      </w:pPr>
      <w:rPr>
        <w:rFonts w:ascii="Symbol" w:hAnsi="Symbol" w:cs="Symbol" w:hint="default"/>
        <w:rFonts w:cs="OpenSymbol"/>
      </w:rPr>
    </w:lvl>
    <w:lvl w:ilvl="6">
      <w:start w:val="1"/>
      <w:numFmt w:val="bullet"/>
      <w:lvlText w:val=""/>
      <w:lvlJc w:val="left"/>
      <w:pPr>
        <w:ind w:left="4949" w:hanging="283"/>
      </w:pPr>
      <w:rPr>
        <w:rFonts w:ascii="Symbol" w:hAnsi="Symbol" w:cs="Symbol" w:hint="default"/>
        <w:rFonts w:cs="OpenSymbol"/>
      </w:rPr>
    </w:lvl>
    <w:lvl w:ilvl="7">
      <w:start w:val="1"/>
      <w:numFmt w:val="bullet"/>
      <w:lvlText w:val=""/>
      <w:lvlJc w:val="left"/>
      <w:pPr>
        <w:ind w:left="5656" w:hanging="283"/>
      </w:pPr>
      <w:rPr>
        <w:rFonts w:ascii="Symbol" w:hAnsi="Symbol" w:cs="Symbol" w:hint="default"/>
        <w:rFonts w:cs="OpenSymbol"/>
      </w:rPr>
    </w:lvl>
    <w:lvl w:ilvl="8">
      <w:start w:val="1"/>
      <w:numFmt w:val="bullet"/>
      <w:lvlText w:val=""/>
      <w:lvlJc w:val="left"/>
      <w:pPr>
        <w:ind w:left="6363" w:hanging="283"/>
      </w:pPr>
      <w:rPr>
        <w:rFonts w:ascii="Symbol" w:hAnsi="Symbol" w:cs="Symbol" w:hint="default"/>
        <w:rFonts w:cs="OpenSymbol"/>
      </w:rPr>
    </w:lvl>
  </w:abstractNum>
  <w:abstractNum w:abstractNumId="4">
    <w:lvl w:ilvl="0">
      <w:start w:val="1"/>
      <w:numFmt w:val="bullet"/>
      <w:lvlText w:val=""/>
      <w:lvlJc w:val="left"/>
      <w:pPr>
        <w:ind w:left="283" w:hanging="283"/>
      </w:pPr>
      <w:rPr>
        <w:rFonts w:ascii="Symbol" w:hAnsi="Symbol" w:cs="Symbol" w:hint="default"/>
        <w:rFonts w:cs="OpenSymbol"/>
      </w:rPr>
    </w:lvl>
    <w:lvl w:ilvl="1">
      <w:start w:val="1"/>
      <w:numFmt w:val="bullet"/>
      <w:lvlText w:val=""/>
      <w:lvlJc w:val="left"/>
      <w:pPr>
        <w:ind w:left="1414" w:hanging="283"/>
      </w:pPr>
      <w:rPr>
        <w:rFonts w:ascii="Symbol" w:hAnsi="Symbol" w:cs="Symbol" w:hint="default"/>
        <w:rFonts w:cs="OpenSymbol"/>
      </w:rPr>
    </w:lvl>
    <w:lvl w:ilvl="2">
      <w:start w:val="1"/>
      <w:numFmt w:val="bullet"/>
      <w:lvlText w:val=""/>
      <w:lvlJc w:val="left"/>
      <w:pPr>
        <w:ind w:left="2121" w:hanging="283"/>
      </w:pPr>
      <w:rPr>
        <w:rFonts w:ascii="Symbol" w:hAnsi="Symbol" w:cs="Symbol" w:hint="default"/>
        <w:rFonts w:cs="OpenSymbol"/>
      </w:rPr>
    </w:lvl>
    <w:lvl w:ilvl="3">
      <w:start w:val="1"/>
      <w:numFmt w:val="bullet"/>
      <w:lvlText w:val=""/>
      <w:lvlJc w:val="left"/>
      <w:pPr>
        <w:ind w:left="2828" w:hanging="283"/>
      </w:pPr>
      <w:rPr>
        <w:rFonts w:ascii="Symbol" w:hAnsi="Symbol" w:cs="Symbol" w:hint="default"/>
        <w:rFonts w:cs="OpenSymbol"/>
      </w:rPr>
    </w:lvl>
    <w:lvl w:ilvl="4">
      <w:start w:val="1"/>
      <w:numFmt w:val="bullet"/>
      <w:lvlText w:val=""/>
      <w:lvlJc w:val="left"/>
      <w:pPr>
        <w:ind w:left="3535" w:hanging="283"/>
      </w:pPr>
      <w:rPr>
        <w:rFonts w:ascii="Symbol" w:hAnsi="Symbol" w:cs="Symbol" w:hint="default"/>
        <w:rFonts w:cs="OpenSymbol"/>
      </w:rPr>
    </w:lvl>
    <w:lvl w:ilvl="5">
      <w:start w:val="1"/>
      <w:numFmt w:val="bullet"/>
      <w:lvlText w:val=""/>
      <w:lvlJc w:val="left"/>
      <w:pPr>
        <w:ind w:left="4242" w:hanging="283"/>
      </w:pPr>
      <w:rPr>
        <w:rFonts w:ascii="Symbol" w:hAnsi="Symbol" w:cs="Symbol" w:hint="default"/>
        <w:rFonts w:cs="OpenSymbol"/>
      </w:rPr>
    </w:lvl>
    <w:lvl w:ilvl="6">
      <w:start w:val="1"/>
      <w:numFmt w:val="bullet"/>
      <w:lvlText w:val=""/>
      <w:lvlJc w:val="left"/>
      <w:pPr>
        <w:ind w:left="4949" w:hanging="283"/>
      </w:pPr>
      <w:rPr>
        <w:rFonts w:ascii="Symbol" w:hAnsi="Symbol" w:cs="Symbol" w:hint="default"/>
        <w:rFonts w:cs="OpenSymbol"/>
      </w:rPr>
    </w:lvl>
    <w:lvl w:ilvl="7">
      <w:start w:val="1"/>
      <w:numFmt w:val="bullet"/>
      <w:lvlText w:val=""/>
      <w:lvlJc w:val="left"/>
      <w:pPr>
        <w:ind w:left="5656" w:hanging="283"/>
      </w:pPr>
      <w:rPr>
        <w:rFonts w:ascii="Symbol" w:hAnsi="Symbol" w:cs="Symbol" w:hint="default"/>
        <w:rFonts w:cs="OpenSymbol"/>
      </w:rPr>
    </w:lvl>
    <w:lvl w:ilvl="8">
      <w:start w:val="1"/>
      <w:numFmt w:val="bullet"/>
      <w:lvlText w:val=""/>
      <w:lvlJc w:val="left"/>
      <w:pPr>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20"/>
  <w:defaultTabStop w:val="709"/>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Mangal"/>
        <w:kern w:val="2"/>
        <w:sz w:val="24"/>
        <w:szCs w:val="24"/>
        <w:lang w:val="fr-FR" w:eastAsia="zh-CN" w:bidi="hi-IN"/>
      </w:rPr>
    </w:rPrDefault>
    <w:pPrDefault>
      <w:pPr>
        <w:suppressAutoHyphens w:val="false"/>
        <w:textAlignment w:val="baseline"/>
      </w:pPr>
    </w:pPrDefault>
  </w:docDefaults>
  <w:style w:type="paragraph" w:styleId="Normal">
    <w:name w:val="Normal"/>
    <w:qForma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textAlignment w:val="baseline"/>
    </w:pPr>
    <w:rPr>
      <w:rFonts w:ascii="Times New Roman" w:hAnsi="Times New Roman" w:eastAsia="SimSun" w:cs="Mangal"/>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4"/>
      <w:u w:val="none"/>
      <w:vertAlign w:val="baseline"/>
      <w:em w:val="none"/>
      <w:lang w:val="fr-FR" w:eastAsia="zh-CN" w:bidi="hi-IN"/>
    </w:rPr>
  </w:style>
  <w:style w:type="paragraph" w:styleId="Titre1">
    <w:name w:val="Heading 1"/>
    <w:basedOn w:val="Titre"/>
    <w:next w:val="Corpsdetexte"/>
    <w:qFormat/>
    <w:pPr>
      <w:numPr>
        <w:ilvl w:val="0"/>
        <w:numId w:val="1"/>
      </w:numPr>
      <w:suppressAutoHyphens w:val="true"/>
      <w:outlineLvl w:val="0"/>
    </w:pPr>
    <w:rPr>
      <w:b/>
      <w:bCs/>
    </w:rPr>
  </w:style>
  <w:style w:type="paragraph" w:styleId="Titre2">
    <w:name w:val="Heading 2"/>
    <w:basedOn w:val="Titre"/>
    <w:next w:val="Corpsdetexte"/>
    <w:qFormat/>
    <w:pPr>
      <w:numPr>
        <w:ilvl w:val="1"/>
        <w:numId w:val="1"/>
      </w:numPr>
      <w:suppressAutoHyphens w:val="true"/>
      <w:outlineLvl w:val="1"/>
    </w:pPr>
    <w:rPr>
      <w:b/>
      <w:bCs/>
      <w:i/>
      <w:iCs/>
    </w:rPr>
  </w:style>
  <w:style w:type="paragraph" w:styleId="Titre3">
    <w:name w:val="Heading 3"/>
    <w:basedOn w:val="Titre"/>
    <w:next w:val="Corpsdetexte"/>
    <w:qFormat/>
    <w:pPr>
      <w:numPr>
        <w:ilvl w:val="2"/>
        <w:numId w:val="1"/>
      </w:numPr>
      <w:suppressAutoHyphens w:val="true"/>
      <w:outlineLvl w:val="2"/>
    </w:pPr>
    <w:rPr>
      <w:rFonts w:ascii="Times New Roman" w:hAnsi="Times New Roman" w:eastAsia="SimSun"/>
      <w:b/>
      <w:bCs/>
    </w:rPr>
  </w:style>
  <w:style w:type="paragraph" w:styleId="Titre4">
    <w:name w:val="Heading 4"/>
    <w:basedOn w:val="Titre"/>
    <w:next w:val="Corpsdetexte"/>
    <w:qFormat/>
    <w:pPr>
      <w:numPr>
        <w:ilvl w:val="0"/>
        <w:numId w:val="0"/>
      </w:numPr>
      <w:spacing w:before="120" w:after="120"/>
      <w:outlineLvl w:val="3"/>
    </w:pPr>
    <w:rPr>
      <w:rFonts w:ascii="Liberation Serif" w:hAnsi="Liberation Serif" w:eastAsia="NSimSun" w:cs="Mangal"/>
      <w:b/>
      <w:bCs/>
      <w:sz w:val="24"/>
      <w:szCs w:val="24"/>
    </w:rPr>
  </w:style>
  <w:style w:type="character" w:styleId="Policepardfaut">
    <w:name w:val="Police par défaut"/>
    <w:qFormat/>
    <w:rPr/>
  </w:style>
  <w:style w:type="character" w:styleId="Puces">
    <w:name w:val="Puces"/>
    <w:qFormat/>
    <w:rPr>
      <w:rFonts w:ascii="OpenSymbol" w:hAnsi="OpenSymbol" w:eastAsia="OpenSymbol" w:cs="OpenSymbol"/>
    </w:rPr>
  </w:style>
  <w:style w:type="character" w:styleId="Accentuation">
    <w:name w:val="Accentuation"/>
    <w:qFormat/>
    <w:rPr>
      <w:i/>
      <w:iCs/>
    </w:rPr>
  </w:style>
  <w:style w:type="character" w:styleId="LienInternet">
    <w:name w:val="Lien Internet"/>
    <w:rPr>
      <w:color w:val="000080"/>
      <w:u w:val="single"/>
    </w:rPr>
  </w:style>
  <w:style w:type="character" w:styleId="Accentuationforte">
    <w:name w:val="Accentuation forte"/>
    <w:qFormat/>
    <w:rPr>
      <w:b/>
      <w:bCs/>
    </w:rPr>
  </w:style>
  <w:style w:type="character" w:styleId="WWCharLFO1LVL1">
    <w:name w:val="WW_CharLFO1LVL1"/>
    <w:qFormat/>
    <w:rPr>
      <w:rFonts w:ascii="OpenSymbol" w:hAnsi="OpenSymbol" w:eastAsia="OpenSymbol" w:cs="OpenSymbol"/>
    </w:rPr>
  </w:style>
  <w:style w:type="character" w:styleId="WWCharLFO1LVL2">
    <w:name w:val="WW_CharLFO1LVL2"/>
    <w:qFormat/>
    <w:rPr>
      <w:rFonts w:ascii="OpenSymbol" w:hAnsi="OpenSymbol" w:eastAsia="OpenSymbol" w:cs="OpenSymbol"/>
    </w:rPr>
  </w:style>
  <w:style w:type="character" w:styleId="WWCharLFO1LVL3">
    <w:name w:val="WW_CharLFO1LVL3"/>
    <w:qFormat/>
    <w:rPr>
      <w:rFonts w:ascii="OpenSymbol" w:hAnsi="OpenSymbol" w:eastAsia="OpenSymbol" w:cs="OpenSymbol"/>
    </w:rPr>
  </w:style>
  <w:style w:type="character" w:styleId="WWCharLFO1LVL4">
    <w:name w:val="WW_CharLFO1LVL4"/>
    <w:qFormat/>
    <w:rPr>
      <w:rFonts w:ascii="OpenSymbol" w:hAnsi="OpenSymbol" w:eastAsia="OpenSymbol" w:cs="OpenSymbol"/>
    </w:rPr>
  </w:style>
  <w:style w:type="character" w:styleId="WWCharLFO1LVL5">
    <w:name w:val="WW_CharLFO1LVL5"/>
    <w:qFormat/>
    <w:rPr>
      <w:rFonts w:ascii="OpenSymbol" w:hAnsi="OpenSymbol" w:eastAsia="OpenSymbol" w:cs="OpenSymbol"/>
    </w:rPr>
  </w:style>
  <w:style w:type="character" w:styleId="WWCharLFO1LVL6">
    <w:name w:val="WW_CharLFO1LVL6"/>
    <w:qFormat/>
    <w:rPr>
      <w:rFonts w:ascii="OpenSymbol" w:hAnsi="OpenSymbol" w:eastAsia="OpenSymbol" w:cs="OpenSymbol"/>
    </w:rPr>
  </w:style>
  <w:style w:type="character" w:styleId="WWCharLFO1LVL7">
    <w:name w:val="WW_CharLFO1LVL7"/>
    <w:qFormat/>
    <w:rPr>
      <w:rFonts w:ascii="OpenSymbol" w:hAnsi="OpenSymbol" w:eastAsia="OpenSymbol" w:cs="OpenSymbol"/>
    </w:rPr>
  </w:style>
  <w:style w:type="character" w:styleId="WWCharLFO1LVL8">
    <w:name w:val="WW_CharLFO1LVL8"/>
    <w:qFormat/>
    <w:rPr>
      <w:rFonts w:ascii="OpenSymbol" w:hAnsi="OpenSymbol" w:eastAsia="OpenSymbol" w:cs="OpenSymbol"/>
    </w:rPr>
  </w:style>
  <w:style w:type="character" w:styleId="WWCharLFO1LVL9">
    <w:name w:val="WW_CharLFO1LVL9"/>
    <w:qFormat/>
    <w:rPr>
      <w:rFonts w:ascii="OpenSymbol" w:hAnsi="OpenSymbol" w:eastAsia="OpenSymbol" w:cs="OpenSymbol"/>
    </w:rPr>
  </w:style>
  <w:style w:type="character" w:styleId="WWCharLFO2LVL1">
    <w:name w:val="WW_CharLFO2LVL1"/>
    <w:qFormat/>
    <w:rPr>
      <w:rFonts w:ascii="OpenSymbol" w:hAnsi="OpenSymbol" w:eastAsia="OpenSymbol" w:cs="OpenSymbol"/>
    </w:rPr>
  </w:style>
  <w:style w:type="character" w:styleId="WWCharLFO2LVL2">
    <w:name w:val="WW_CharLFO2LVL2"/>
    <w:qFormat/>
    <w:rPr>
      <w:rFonts w:ascii="OpenSymbol" w:hAnsi="OpenSymbol" w:eastAsia="OpenSymbol" w:cs="OpenSymbol"/>
    </w:rPr>
  </w:style>
  <w:style w:type="character" w:styleId="WWCharLFO2LVL3">
    <w:name w:val="WW_CharLFO2LVL3"/>
    <w:qFormat/>
    <w:rPr>
      <w:rFonts w:ascii="OpenSymbol" w:hAnsi="OpenSymbol" w:eastAsia="OpenSymbol" w:cs="OpenSymbol"/>
    </w:rPr>
  </w:style>
  <w:style w:type="character" w:styleId="WWCharLFO2LVL4">
    <w:name w:val="WW_CharLFO2LVL4"/>
    <w:qFormat/>
    <w:rPr>
      <w:rFonts w:ascii="OpenSymbol" w:hAnsi="OpenSymbol" w:eastAsia="OpenSymbol" w:cs="OpenSymbol"/>
    </w:rPr>
  </w:style>
  <w:style w:type="character" w:styleId="WWCharLFO2LVL5">
    <w:name w:val="WW_CharLFO2LVL5"/>
    <w:qFormat/>
    <w:rPr>
      <w:rFonts w:ascii="OpenSymbol" w:hAnsi="OpenSymbol" w:eastAsia="OpenSymbol" w:cs="OpenSymbol"/>
    </w:rPr>
  </w:style>
  <w:style w:type="character" w:styleId="WWCharLFO2LVL6">
    <w:name w:val="WW_CharLFO2LVL6"/>
    <w:qFormat/>
    <w:rPr>
      <w:rFonts w:ascii="OpenSymbol" w:hAnsi="OpenSymbol" w:eastAsia="OpenSymbol" w:cs="OpenSymbol"/>
    </w:rPr>
  </w:style>
  <w:style w:type="character" w:styleId="WWCharLFO2LVL7">
    <w:name w:val="WW_CharLFO2LVL7"/>
    <w:qFormat/>
    <w:rPr>
      <w:rFonts w:ascii="OpenSymbol" w:hAnsi="OpenSymbol" w:eastAsia="OpenSymbol" w:cs="OpenSymbol"/>
    </w:rPr>
  </w:style>
  <w:style w:type="character" w:styleId="WWCharLFO2LVL8">
    <w:name w:val="WW_CharLFO2LVL8"/>
    <w:qFormat/>
    <w:rPr>
      <w:rFonts w:ascii="OpenSymbol" w:hAnsi="OpenSymbol" w:eastAsia="OpenSymbol" w:cs="OpenSymbol"/>
    </w:rPr>
  </w:style>
  <w:style w:type="character" w:styleId="WWCharLFO2LVL9">
    <w:name w:val="WW_CharLFO2LVL9"/>
    <w:qFormat/>
    <w:rPr>
      <w:rFonts w:ascii="OpenSymbol" w:hAnsi="OpenSymbol" w:eastAsia="OpenSymbol" w:cs="OpenSymbol"/>
    </w:rPr>
  </w:style>
  <w:style w:type="character" w:styleId="WWCharLFO3LVL1">
    <w:name w:val="WW_CharLFO3LVL1"/>
    <w:qFormat/>
    <w:rPr>
      <w:rFonts w:ascii="OpenSymbol" w:hAnsi="OpenSymbol" w:eastAsia="OpenSymbol" w:cs="OpenSymbol"/>
    </w:rPr>
  </w:style>
  <w:style w:type="character" w:styleId="WWCharLFO3LVL2">
    <w:name w:val="WW_CharLFO3LVL2"/>
    <w:qFormat/>
    <w:rPr>
      <w:rFonts w:ascii="OpenSymbol" w:hAnsi="OpenSymbol" w:eastAsia="OpenSymbol" w:cs="OpenSymbol"/>
    </w:rPr>
  </w:style>
  <w:style w:type="character" w:styleId="WWCharLFO3LVL3">
    <w:name w:val="WW_CharLFO3LVL3"/>
    <w:qFormat/>
    <w:rPr>
      <w:rFonts w:ascii="OpenSymbol" w:hAnsi="OpenSymbol" w:eastAsia="OpenSymbol" w:cs="OpenSymbol"/>
    </w:rPr>
  </w:style>
  <w:style w:type="character" w:styleId="WWCharLFO3LVL4">
    <w:name w:val="WW_CharLFO3LVL4"/>
    <w:qFormat/>
    <w:rPr>
      <w:rFonts w:ascii="OpenSymbol" w:hAnsi="OpenSymbol" w:eastAsia="OpenSymbol" w:cs="OpenSymbol"/>
    </w:rPr>
  </w:style>
  <w:style w:type="character" w:styleId="WWCharLFO3LVL5">
    <w:name w:val="WW_CharLFO3LVL5"/>
    <w:qFormat/>
    <w:rPr>
      <w:rFonts w:ascii="OpenSymbol" w:hAnsi="OpenSymbol" w:eastAsia="OpenSymbol" w:cs="OpenSymbol"/>
    </w:rPr>
  </w:style>
  <w:style w:type="character" w:styleId="WWCharLFO3LVL6">
    <w:name w:val="WW_CharLFO3LVL6"/>
    <w:qFormat/>
    <w:rPr>
      <w:rFonts w:ascii="OpenSymbol" w:hAnsi="OpenSymbol" w:eastAsia="OpenSymbol" w:cs="OpenSymbol"/>
    </w:rPr>
  </w:style>
  <w:style w:type="character" w:styleId="WWCharLFO3LVL7">
    <w:name w:val="WW_CharLFO3LVL7"/>
    <w:qFormat/>
    <w:rPr>
      <w:rFonts w:ascii="OpenSymbol" w:hAnsi="OpenSymbol" w:eastAsia="OpenSymbol" w:cs="OpenSymbol"/>
    </w:rPr>
  </w:style>
  <w:style w:type="character" w:styleId="WWCharLFO3LVL8">
    <w:name w:val="WW_CharLFO3LVL8"/>
    <w:qFormat/>
    <w:rPr>
      <w:rFonts w:ascii="OpenSymbol" w:hAnsi="OpenSymbol" w:eastAsia="OpenSymbol" w:cs="OpenSymbol"/>
    </w:rPr>
  </w:style>
  <w:style w:type="character" w:styleId="WWCharLFO3LVL9">
    <w:name w:val="WW_CharLFO3LVL9"/>
    <w:qFormat/>
    <w:rPr>
      <w:rFonts w:ascii="OpenSymbol" w:hAnsi="OpenSymbol" w:eastAsia="OpenSymbol" w:cs="OpenSymbol"/>
    </w:rPr>
  </w:style>
  <w:style w:type="character" w:styleId="WWCharLFO4LVL1">
    <w:name w:val="WW_CharLFO4LVL1"/>
    <w:qFormat/>
    <w:rPr>
      <w:rFonts w:ascii="OpenSymbol" w:hAnsi="OpenSymbol" w:eastAsia="OpenSymbol" w:cs="OpenSymbol"/>
    </w:rPr>
  </w:style>
  <w:style w:type="character" w:styleId="WWCharLFO4LVL2">
    <w:name w:val="WW_CharLFO4LVL2"/>
    <w:qFormat/>
    <w:rPr>
      <w:rFonts w:ascii="OpenSymbol" w:hAnsi="OpenSymbol" w:eastAsia="OpenSymbol" w:cs="OpenSymbol"/>
    </w:rPr>
  </w:style>
  <w:style w:type="character" w:styleId="WWCharLFO4LVL3">
    <w:name w:val="WW_CharLFO4LVL3"/>
    <w:qFormat/>
    <w:rPr>
      <w:rFonts w:ascii="OpenSymbol" w:hAnsi="OpenSymbol" w:eastAsia="OpenSymbol" w:cs="OpenSymbol"/>
    </w:rPr>
  </w:style>
  <w:style w:type="character" w:styleId="WWCharLFO4LVL4">
    <w:name w:val="WW_CharLFO4LVL4"/>
    <w:qFormat/>
    <w:rPr>
      <w:rFonts w:ascii="OpenSymbol" w:hAnsi="OpenSymbol" w:eastAsia="OpenSymbol" w:cs="OpenSymbol"/>
    </w:rPr>
  </w:style>
  <w:style w:type="character" w:styleId="WWCharLFO4LVL5">
    <w:name w:val="WW_CharLFO4LVL5"/>
    <w:qFormat/>
    <w:rPr>
      <w:rFonts w:ascii="OpenSymbol" w:hAnsi="OpenSymbol" w:eastAsia="OpenSymbol" w:cs="OpenSymbol"/>
    </w:rPr>
  </w:style>
  <w:style w:type="character" w:styleId="WWCharLFO4LVL6">
    <w:name w:val="WW_CharLFO4LVL6"/>
    <w:qFormat/>
    <w:rPr>
      <w:rFonts w:ascii="OpenSymbol" w:hAnsi="OpenSymbol" w:eastAsia="OpenSymbol" w:cs="OpenSymbol"/>
    </w:rPr>
  </w:style>
  <w:style w:type="character" w:styleId="WWCharLFO4LVL7">
    <w:name w:val="WW_CharLFO4LVL7"/>
    <w:qFormat/>
    <w:rPr>
      <w:rFonts w:ascii="OpenSymbol" w:hAnsi="OpenSymbol" w:eastAsia="OpenSymbol" w:cs="OpenSymbol"/>
    </w:rPr>
  </w:style>
  <w:style w:type="character" w:styleId="WWCharLFO4LVL8">
    <w:name w:val="WW_CharLFO4LVL8"/>
    <w:qFormat/>
    <w:rPr>
      <w:rFonts w:ascii="OpenSymbol" w:hAnsi="OpenSymbol" w:eastAsia="OpenSymbol" w:cs="OpenSymbol"/>
    </w:rPr>
  </w:style>
  <w:style w:type="character" w:styleId="WWCharLFO4LVL9">
    <w:name w:val="WW_CharLFO4LVL9"/>
    <w:qFormat/>
    <w:rPr>
      <w:rFonts w:ascii="OpenSymbol" w:hAnsi="OpenSymbol" w:eastAsia="OpenSymbol" w:cs="OpenSymbol"/>
    </w:rPr>
  </w:style>
  <w:style w:type="character" w:styleId="WWCharLFO5LVL1">
    <w:name w:val="WW_CharLFO5LVL1"/>
    <w:qFormat/>
    <w:rPr>
      <w:rFonts w:ascii="OpenSymbol" w:hAnsi="OpenSymbol" w:eastAsia="OpenSymbol" w:cs="OpenSymbol"/>
    </w:rPr>
  </w:style>
  <w:style w:type="character" w:styleId="WWCharLFO5LVL2">
    <w:name w:val="WW_CharLFO5LVL2"/>
    <w:qFormat/>
    <w:rPr>
      <w:rFonts w:ascii="OpenSymbol" w:hAnsi="OpenSymbol" w:eastAsia="OpenSymbol" w:cs="OpenSymbol"/>
    </w:rPr>
  </w:style>
  <w:style w:type="character" w:styleId="WWCharLFO5LVL3">
    <w:name w:val="WW_CharLFO5LVL3"/>
    <w:qFormat/>
    <w:rPr>
      <w:rFonts w:ascii="OpenSymbol" w:hAnsi="OpenSymbol" w:eastAsia="OpenSymbol" w:cs="OpenSymbol"/>
    </w:rPr>
  </w:style>
  <w:style w:type="character" w:styleId="WWCharLFO5LVL4">
    <w:name w:val="WW_CharLFO5LVL4"/>
    <w:qFormat/>
    <w:rPr>
      <w:rFonts w:ascii="OpenSymbol" w:hAnsi="OpenSymbol" w:eastAsia="OpenSymbol" w:cs="OpenSymbol"/>
    </w:rPr>
  </w:style>
  <w:style w:type="character" w:styleId="WWCharLFO5LVL5">
    <w:name w:val="WW_CharLFO5LVL5"/>
    <w:qFormat/>
    <w:rPr>
      <w:rFonts w:ascii="OpenSymbol" w:hAnsi="OpenSymbol" w:eastAsia="OpenSymbol" w:cs="OpenSymbol"/>
    </w:rPr>
  </w:style>
  <w:style w:type="character" w:styleId="WWCharLFO5LVL6">
    <w:name w:val="WW_CharLFO5LVL6"/>
    <w:qFormat/>
    <w:rPr>
      <w:rFonts w:ascii="OpenSymbol" w:hAnsi="OpenSymbol" w:eastAsia="OpenSymbol" w:cs="OpenSymbol"/>
    </w:rPr>
  </w:style>
  <w:style w:type="character" w:styleId="WWCharLFO5LVL7">
    <w:name w:val="WW_CharLFO5LVL7"/>
    <w:qFormat/>
    <w:rPr>
      <w:rFonts w:ascii="OpenSymbol" w:hAnsi="OpenSymbol" w:eastAsia="OpenSymbol" w:cs="OpenSymbol"/>
    </w:rPr>
  </w:style>
  <w:style w:type="character" w:styleId="WWCharLFO5LVL8">
    <w:name w:val="WW_CharLFO5LVL8"/>
    <w:qFormat/>
    <w:rPr>
      <w:rFonts w:ascii="OpenSymbol" w:hAnsi="OpenSymbol" w:eastAsia="OpenSymbol" w:cs="OpenSymbol"/>
    </w:rPr>
  </w:style>
  <w:style w:type="character" w:styleId="WWCharLFO5LVL9">
    <w:name w:val="WW_CharLFO5LVL9"/>
    <w:qFormat/>
    <w:rPr>
      <w:rFonts w:ascii="OpenSymbol" w:hAnsi="OpenSymbol" w:eastAsia="OpenSymbol" w:cs="OpenSymbol"/>
    </w:rPr>
  </w:style>
  <w:style w:type="character" w:styleId="Caractresdenumrotation">
    <w:name w:val="Caractères de numérotation"/>
    <w:qFormat/>
    <w:rPr/>
  </w:style>
  <w:style w:type="paragraph" w:styleId="Titre">
    <w:name w:val="Titre"/>
    <w:basedOn w:val="Normal"/>
    <w:next w:val="Corpsdetexte"/>
    <w:qFormat/>
    <w:pPr>
      <w:suppressAutoHyphens w:val="true"/>
      <w:jc w:val="center"/>
    </w:pPr>
    <w:rPr>
      <w:b/>
      <w:bCs/>
      <w:sz w:val="36"/>
      <w:szCs w:val="36"/>
    </w:rPr>
  </w:style>
  <w:style w:type="paragraph" w:styleId="Corpsdetexte">
    <w:name w:val="Body Text"/>
    <w:basedOn w:val="Normal"/>
    <w:pPr>
      <w:suppressAutoHyphens w:val="true"/>
      <w:spacing w:before="0" w:after="120"/>
    </w:pPr>
    <w:rPr/>
  </w:style>
  <w:style w:type="paragraph" w:styleId="Normal1">
    <w:name w:val="LO-Normal"/>
    <w:qForma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textAlignment w:val="baseline"/>
    </w:pPr>
    <w:rPr>
      <w:rFonts w:ascii="Times New Roman" w:hAnsi="Times New Roman" w:eastAsia="SimSun" w:cs="Mangal"/>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4"/>
      <w:u w:val="none"/>
      <w:vertAlign w:val="baseline"/>
      <w:em w:val="none"/>
      <w:lang w:val="fr-FR" w:eastAsia="zh-CN" w:bidi="hi-IN"/>
    </w:rPr>
  </w:style>
  <w:style w:type="paragraph" w:styleId="Liste">
    <w:name w:val="List"/>
    <w:basedOn w:val="Corpsdetexte"/>
    <w:pPr>
      <w:suppressAutoHyphens w:val="true"/>
    </w:pPr>
    <w:rPr/>
  </w:style>
  <w:style w:type="paragraph" w:styleId="Lgende">
    <w:name w:val="Caption"/>
    <w:basedOn w:val="Normal"/>
    <w:qFormat/>
    <w:pPr>
      <w:suppressLineNumbers/>
      <w:suppressAutoHyphens w:val="true"/>
      <w:spacing w:before="120" w:after="120"/>
    </w:pPr>
    <w:rPr>
      <w:i/>
      <w:iCs/>
    </w:rPr>
  </w:style>
  <w:style w:type="paragraph" w:styleId="Index">
    <w:name w:val="Index"/>
    <w:basedOn w:val="Normal"/>
    <w:qFormat/>
    <w:pPr>
      <w:suppressLineNumbers/>
      <w:suppressAutoHyphens w:val="true"/>
    </w:pPr>
    <w:rPr/>
  </w:style>
  <w:style w:type="paragraph" w:styleId="Citations">
    <w:name w:val="Citations"/>
    <w:basedOn w:val="Normal"/>
    <w:qFormat/>
    <w:pPr>
      <w:tabs>
        <w:tab w:val="clear" w:pos="709"/>
      </w:tabs>
      <w:suppressAutoHyphens w:val="true"/>
      <w:spacing w:before="0" w:after="283"/>
      <w:ind w:left="567" w:right="567" w:hanging="0"/>
    </w:pPr>
    <w:rPr/>
  </w:style>
  <w:style w:type="paragraph" w:styleId="Contenudecadre">
    <w:name w:val="Contenu de cadre"/>
    <w:basedOn w:val="Normal"/>
    <w:qFormat/>
    <w:pPr>
      <w:suppressAutoHyphens w:val="true"/>
    </w:pPr>
    <w:rPr/>
  </w:style>
  <w:style w:type="paragraph" w:styleId="Soustitre">
    <w:name w:val="Subtitle"/>
    <w:basedOn w:val="Titre"/>
    <w:next w:val="Corpsdetexte"/>
    <w:qFormat/>
    <w:pPr>
      <w:suppressAutoHyphens w:val="true"/>
      <w:jc w:val="center"/>
    </w:pPr>
    <w:rPr>
      <w:i/>
      <w:iCs/>
    </w:rPr>
  </w:style>
  <w:style w:type="paragraph" w:styleId="Titreprincipal">
    <w:name w:val="Title"/>
    <w:basedOn w:val="Titre"/>
    <w:next w:val="Corpsdetexte"/>
    <w:qFormat/>
    <w:pPr>
      <w:jc w:val="center"/>
    </w:pPr>
    <w:rPr>
      <w:b/>
      <w:bCs/>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oneprez.com/" TargetMode="External"/><Relationship Id="rId3" Type="http://schemas.openxmlformats.org/officeDocument/2006/relationships/hyperlink" Target="http://oneprez.com/" TargetMode="External"/><Relationship Id="rId4" Type="http://schemas.openxmlformats.org/officeDocument/2006/relationships/hyperlink" Target="https://www.gaelle-bouyssou-bijoux.com/" TargetMode="External"/><Relationship Id="rId5" Type="http://schemas.openxmlformats.org/officeDocument/2006/relationships/hyperlink" Target="http://oneprez.com/" TargetMode="External"/><Relationship Id="rId6" Type="http://schemas.openxmlformats.org/officeDocument/2006/relationships/hyperlink" Target="https://www.oneprez.com/" TargetMode="External"/><Relationship Id="rId7" Type="http://schemas.openxmlformats.org/officeDocument/2006/relationships/hyperlink" Target="http://oneprez.com/" TargetMode="External"/><Relationship Id="rId8" Type="http://schemas.openxmlformats.org/officeDocument/2006/relationships/hyperlink" Target="http://www.gaelle-bouyssou-bijoux.com/" TargetMode="External"/><Relationship Id="rId9" Type="http://schemas.openxmlformats.org/officeDocument/2006/relationships/hyperlink" Target="https://mediateur-consommation-smp.us20.list-manage.com/track/click?u=e9f468c4f2bd19c0fbf4cd698&amp;id=e08d164ac7&amp;e=82df5ac4fc" TargetMode="Externa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613</TotalTime>
  <Application>LibreOffice/6.3.6.2$Windows_x86 LibreOffice_project/2196df99b074d8a661f4036fca8fa0cbfa33a497</Application>
  <Pages>5</Pages>
  <Words>2318</Words>
  <CharactersWithSpaces>14323</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2016-10-11T17:22:00Z</dcterms:created>
  <dc:creator/>
  <dc:description/>
  <dc:language>fr-FR</dc:language>
  <cp:lastModifiedBy/>
  <dcterms:modified xsi:type="dcterms:W3CDTF">2023-01-19T14:36:54Z</dcterms:modified>
  <cp:revision>56</cp:revision>
  <dc:subject/>
  <dc:title/>
</cp:coreProperties>
</file>